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PRGS</w:t>
      </w:r>
      <w:r>
        <w:rPr>
          <w:rFonts w:ascii="Calibri" w:hAnsi="Calibri"/>
          <w:b/>
          <w:color w:val="1A2010"/>
          <w:sz w:val="40"/>
        </w:rPr>
        <w:t xml:space="preserve">  Progress Software Corporation</w:t>
      </w:r>
    </w:p>
    <w:p>
      <w:pPr>
        <w:spacing w:after="120"/>
      </w:pPr>
      <w:r>
        <w:rPr>
          <w:rFonts w:ascii="Calibri" w:hAnsi="Calibri"/>
          <w:b/>
          <w:color w:val="6E8450"/>
          <w:sz w:val="18"/>
        </w:rPr>
        <w:t>GROWTH SLEEVE · 2026-10-02 · Inspire: 55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58</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Technology · Software - Infrastructure · NMS · United States</w:t>
      </w:r>
    </w:p>
    <w:p>
      <w:pPr>
        <w:spacing w:after="80"/>
      </w:pPr>
      <w:r>
        <w:rPr>
          <w:rFonts w:ascii="Calibri" w:hAnsi="Calibri"/>
          <w:b w:val="0"/>
          <w:color w:val="3A4A28"/>
          <w:sz w:val="20"/>
        </w:rPr>
        <w:t>Progress Software develops, deploys, and manages AI-powered applications and digital experiences for over 200,000 organizations globally, including 75%+ of the Fortune 500. The portfolio spans managed file transfer (MOVEit, Automate MFT), application development (OpenEdge, Developer Tools), network security (Flowmon), load balancing (Kemp), data management (MarkLogic), document collaboration (ShareFile), and AI platforms (Agentic RAG, Semaphore). Founded in 1981 and headquartered in Burlington, Massachusetts, Progress reported FY2026 guidance of $1.044-1.052B in revenue with non-GAAP operating margins above 35% and adjusted EPS of $6.15-$6.23.</w:t>
      </w:r>
    </w:p>
    <w:p>
      <w:r>
        <w:rPr>
          <w:rFonts w:ascii="Calibri" w:hAnsi="Calibri"/>
          <w:b/>
          <w:color w:val="6E8450"/>
          <w:sz w:val="18"/>
        </w:rPr>
        <w:t>2,801 Employees · https://www.progress.com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Under CEO Yogesh Gupta (since 2016), Progress transformed from a single-product OpenEdge company into a diversified infrastructure software platform through six strategic acquisitions — ShareFile from Citrix ($875M), MarkLogic, Kemp LoadMaster, Flowmon, and most recently Domo in Q3 FY2026 — each opening new revenue streams in adjacent enterprise categories, nearly doubling revenue from ~$500M to $1B+ [1][2]. The transformation is meaningful but primarily acquisitive rather than organic R&amp;D-driven innovation. AI Deployment (1/2): Progress launched its AI strategy in 2017 and now ships Agentic RAG (next-gen retrieval-augmented generation as a service), Semaphore Semantic AI platform, and AI-powered network detection in Flowmon, with AI-prompt components embedded in developer tools [3]. However, no specific AI revenue contribution or quantified cost savings have been disclosed. Market Share (1/2): MOVEit is a recognized leader in the managed file transfer segment used by thousands of enterprises for compliance-driven secure transfers, though the 2023 zero-day vulnerability exploited by Cl0p ransomware temporarily damaged market trust [1]. OpenEdge maintains a loyal legacy installed base but is not a category-defining platform. Product Pipeline (1/2): The Domo acquisition adds AI-powered analytics and data visualization capabilities, and Agentic RAG represents a next-gen platform bet, but specific launch timelines and revenue visibility for upcoming products remain vague [2]. R&amp;D Intensity (1/1): Progress maintains R&amp;D investment consistent with infrastructure software peers, supported by 85.8% gross margins that fund continued product development across the portfolio [5].</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Progress positions itself as an 'AI-Powered Apps &amp; Digital Experiences Company' helping organizations 'develop, deploy and manage high-impact applications' — a clear functional statement that identifies what the company does and for whom, but lacks a deeper purpose or inspirational vision that differentiates from dozens of enterprise software peers [3]. Community Impact (1/2): The company operates 'Progress for Tomorrow,' a CSR program focused on inclusion, diversity, belonging, community support, and sustainability best practices, detailed in its 2025 Corporate Social Responsibility Report [4]. However, no specific dollar amounts or distinctive programs were identified beyond standard corporate philanthropy. Employee Retention (1/2): CEO Gupta's 10-year tenure provides leadership stability, and he earned an 86% CEO approval rating on Glassdoor with the company scoring 3.8/5 stars overall and 72% recommending to a friend [3]. However, multiple employee reviews cite concerns about recurring layoffs and RIFs creating organizational instability, with some noting 'people first' messaging does not always match reality. Insider Buying (0/2): No evidence of meaningful net insider buying by Gupta or senior executives in the last 12 months was identified.</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Growth stock. Progress trades at a deeply discounted forward P/E of 5.10 (score 1.0), reflecting the market's undervaluation relative to FY2026 EPS guidance of $6.15-$6.23 [1][5]. Forward PEG of 1.27 is attractive (score 0.87, 2x weight), indicating reasonable growth-adjusted valuation. ROE of 18.3% exceeds the 15% target (score 1.0, 2x weight), demonstrating capital efficiency despite acquisition-related leverage [5]. The 5-year revenue CAGR of approximately 13% reflects successful M&amp;A-driven scaling from ~$500M to $1B+ (score 1.0, 2x weight), though TTM revenue growth has decelerated to -1.5% YoY (score 0.62) as the company digests recent acquisitions [1]. D/E of 238.7% is elevated from acquisition debt (score 0.27), and GAAP profit margin of 9.2% (score 0.46) is depressed by acquisition-related amortization — non-GAAP operating margins exceed 35% and reached 43% in Q3 FY2026 [1][2]. Daily dollar volume of $20.1M provides adequate liquidity. Weighted sum: (1x0.27)+(2x1.0)+(1x0.62)+(2x1.0)+(1x1.0)+(1x0.46)+(2x0.87) = 8.09/10 = 8.</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B8860B"/>
          <w:sz w:val="28"/>
        </w:rPr>
        <w:t>4</w:t>
      </w:r>
      <w:r>
        <w:rPr>
          <w:rFonts w:ascii="Calibri" w:hAnsi="Calibri"/>
          <w:b w:val="0"/>
          <w:color w:val="9DAF88"/>
          <w:sz w:val="18"/>
        </w:rPr>
        <w:t xml:space="preserve"> /10</w:t>
      </w:r>
    </w:p>
    <w:p>
      <w:pPr>
        <w:spacing w:after="120"/>
      </w:pPr>
      <w:r>
        <w:rPr>
          <w:rFonts w:ascii="Calibri" w:hAnsi="Calibri"/>
          <w:b w:val="0"/>
          <w:color w:val="3A4A28"/>
          <w:sz w:val="18"/>
        </w:rPr>
        <w:t>Progress Software operates with a predominantly finite mindset, executing a disciplined roll-up acquisition strategy that prioritizes operating margin expansion and EPS growth over a transformative vision. While CEO Gupta has successfully scaled the business from $500M to $1B+ through M&amp;A, the company's strategic narrative centers on financial targets — 13% revenue CAGR, 35%+ operating margins — rather than a durable purpose that transcends quarterly metrics. The acquisitive model creates value but does not reflect the infinite game commitment to building something that endures beyond the current strategy.</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Progress articulates its purpose as helping organizations 'develop, deploy and manage high-impact applications,' which is functional and interchangeable with dozens of enterprise software peers [3]. The company's strategic narrative under Gupta centers on financial metrics — 13% revenue CAGR, best-in-class margins, consistent EPS growth — rather than a vision of a better future that inspires sacrifice [1][2]. Acquisitions appear driven by margin accretion and portfolio expansion rather than advancing a higher purpose.</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CEO Gupta's 10-year tenure and 86% Glassdoor CEO approval rating indicate stable leadership that earns employee respect, and his reputation as a 'people-centric' leader who mentors employees suggests investment in organizational trust [3]. However, multiple Glassdoor reviews (3.8/5 overall, 72% recommend) cite recurring layoffs and RIFs as creating instability, with some employees noting 'people first' messaging conflicts with business-driven restructuring decisions — a tension that undermines the Circle of Safety Sinek demands.</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was found of Progress's leadership publicly acknowledging competitors' strengths or framing competition as an opportunity for self-improvement [1][2][3]. The company's competitive positioning focuses on market capture through acquisitions and margin superiority, consistent with a finite 'win the game' mindset rather than using rivalry as motivation to improve.</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Progress evolved meaningfully from a single-product OpenEdge platform company to a diversified infrastructure software portfolio through serial acquisitions, and the recent pivot to position as an 'AI-Powered Apps &amp; Digital Experiences Company' with Agentic RAG represents genuine strategic adaptation [2][3]. However, the evolution has been incremental and acquisitive rather than transformative — no core business line was cannibalized, and each acquisition extended the portfolio adjacently rather than fundamentally reimagining the company's model.</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Gupta's decision to pursue a disciplined M&amp;A strategy — acquiring six companies and nearly doubling revenue — required sustained conviction in a roll-up model that many software investors view skeptically, and the $875M ShareFile deal was a bold balance-sheet bet that pushed D/E above 230% [2][3]. His early AI strategy launch in 2017 predated the generative AI boom, and the Domo acquisition in FY2026 demonstrates continued willingness to make significant bets. However, these investments align with financial engineering (margin accretion from acquired portfolios) rather than costly long-term bets that sacrifice near-term earnings for future capability.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Progress Software at $36.58 with a $1.5B market cap is a deeply undervalued enterprise infrastructure software platform trading at just 5.1x forward earnings against FY2026 EPS guidance of $6.15-$6.23 and revenue guidance of $1.044-1.052B [1][2]. CEO Gupta's disciplined M&amp;A strategy has nearly doubled revenue from ~$500M to $1B+ since 2016 while maintaining best-in-class non-GAAP operating margins that reached 43% in Q3 FY2026 (up 300bps YoY), and the Domo acquisition adds AI-powered analytics capabilities expanding the addressable market [2]. The product portfolio — MOVEit, OpenEdge, Kemp, Flowmon, MarkLogic, ShareFile — serves compliance-driven enterprise workflows with high switching costs, generating $320M+ in annual free cash flow with 85.8% gross margins [5].</w:t>
      </w:r>
    </w:p>
    <w:p>
      <w:pPr>
        <w:spacing w:after="120"/>
      </w:pPr>
      <w:r>
        <w:rPr>
          <w:rFonts w:ascii="Calibri" w:hAnsi="Calibri"/>
          <w:b w:val="0"/>
          <w:color w:val="3A4A28"/>
          <w:sz w:val="20"/>
        </w:rPr>
        <w:t>The bear case centers on acquisition integration risk and decelerating organic growth. TTM revenue growth has slowed to -1.5% as the company digests multiple acquisitions, and Q1-Q3 FY2026 constant-currency revenue growth was only 2%, raising questions about whether acquired product portfolios can sustain growth beyond initial cost synergies [1][2]. D/E of 238.7% reflects significant acquisition-related leverage ($1.27B debt vs $114M cash), creating balance sheet vulnerability if integration stumbles or enterprise software demand weakens. The 2023 MOVEit zero-day vulnerability exploited by Cl0p ransomware affected thousands of organizations and exposed ongoing litigation and reputational risk. Dividend suspension in late 2024 removed an income attraction for yield-oriented investors, and the company's roll-up strategy depends on continued availability of attractive acquisition targets at reasonable valuations while integration complexity compounds with each deal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Domo acquisition adds AI-powered analytics and data visualization to the portfolio, expanding the addressable market while the stock trades at just 5.1x forward earnings — significant multiple expansion potential if integration succeeds and organic growth reaccelerates [2]</w:t>
      </w:r>
    </w:p>
    <w:p>
      <w:pPr>
        <w:spacing w:before="40" w:after="40"/>
        <w:ind w:left="283"/>
      </w:pPr>
      <w:r>
        <w:rPr>
          <w:rFonts w:ascii="Calibri" w:hAnsi="Calibri"/>
          <w:b/>
          <w:color w:val="4A6B25"/>
          <w:sz w:val="20"/>
        </w:rPr>
        <w:t xml:space="preserve">2. </w:t>
      </w:r>
      <w:r>
        <w:rPr>
          <w:rFonts w:ascii="Calibri" w:hAnsi="Calibri"/>
          <w:b w:val="0"/>
          <w:color w:val="3A4A28"/>
          <w:sz w:val="20"/>
        </w:rPr>
        <w:t>Non-GAAP operating margins expanding to 43% in Q3 FY2026 (up 300bps YoY) demonstrate continued margin leverage, with $320M+ annual free cash flow funding deleveraging and future acquisitions from a $1B+ revenue base [1][2]</w:t>
      </w:r>
    </w:p>
    <w:p>
      <w:pPr>
        <w:spacing w:before="40" w:after="40"/>
        <w:ind w:left="283"/>
      </w:pPr>
      <w:r>
        <w:rPr>
          <w:rFonts w:ascii="Calibri" w:hAnsi="Calibri"/>
          <w:b/>
          <w:color w:val="4A6B25"/>
          <w:sz w:val="20"/>
        </w:rPr>
        <w:t xml:space="preserve">3. </w:t>
      </w:r>
      <w:r>
        <w:rPr>
          <w:rFonts w:ascii="Calibri" w:hAnsi="Calibri"/>
          <w:b w:val="0"/>
          <w:color w:val="3A4A28"/>
          <w:sz w:val="20"/>
        </w:rPr>
        <w:t>AI platform investments — Agentic RAG, Semaphore Semantic AI, and AI-powered Flowmon — position Progress to capture enterprise AI adoption spending, with 200,000+ existing customer relationships providing a built-in distribution channel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Acquisition integration complexity compounds with each deal — six acquisitions under Gupta including the recent Domo purchase stress management bandwidth, and TTM organic revenue growth of only 2% constant-currency suggests acquired portfolios are not generating sustainable growth beyond cost synergies [1][2]</w:t>
      </w:r>
    </w:p>
    <w:p>
      <w:pPr>
        <w:spacing w:before="40" w:after="40"/>
        <w:ind w:left="283"/>
      </w:pPr>
      <w:r>
        <w:rPr>
          <w:rFonts w:ascii="Calibri" w:hAnsi="Calibri"/>
          <w:b/>
          <w:color w:val="4A6B25"/>
          <w:sz w:val="20"/>
        </w:rPr>
        <w:t xml:space="preserve">2. </w:t>
      </w:r>
      <w:r>
        <w:rPr>
          <w:rFonts w:ascii="Calibri" w:hAnsi="Calibri"/>
          <w:b w:val="0"/>
          <w:color w:val="3A4A28"/>
          <w:sz w:val="20"/>
        </w:rPr>
        <w:t>D/E of 238.7% ($1.27B debt vs $114M cash) creates meaningful financial leverage risk; a slowdown in enterprise software spending or failed integration could impair debt service capacity and constrain future M&amp;A flexibility [5]</w:t>
      </w:r>
    </w:p>
    <w:p>
      <w:pPr>
        <w:spacing w:before="40" w:after="40"/>
        <w:ind w:left="283"/>
      </w:pPr>
      <w:r>
        <w:rPr>
          <w:rFonts w:ascii="Calibri" w:hAnsi="Calibri"/>
          <w:b/>
          <w:color w:val="4A6B25"/>
          <w:sz w:val="20"/>
        </w:rPr>
        <w:t xml:space="preserve">3. </w:t>
      </w:r>
      <w:r>
        <w:rPr>
          <w:rFonts w:ascii="Calibri" w:hAnsi="Calibri"/>
          <w:b w:val="0"/>
          <w:color w:val="3A4A28"/>
          <w:sz w:val="20"/>
        </w:rPr>
        <w:t>The 2023 MOVEit zero-day vulnerability exploited by Cl0p ransomware affected thousands of organizations and remains a litigation and reputational overhang — any future security incident in the file transfer portfolio could accelerate customer attrition in the most mission-critical product line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(6/9): Progress's core enterprise infrastructure products — MOVEit managed file transfer, Kemp load balancing, WhatsUp Gold network monitoring, and Flowmon network security — serve compliance-driven, deeply embedded enterprise workflows with high switching costs that AI cannot easily substitute [1][3]. OpenEdge applications carry decades of embedded business logic where replacement cost is prohibitive. However, the Developer Tools segment (UI components, testing tools) faces moderate AI disruption risk as AI-powered code generation and automated testing tools from competitors could reduce demand for traditional development tooling, and ShareFile competes in document collaboration where AI is rapidly enabling alternatives. AI Opportunity (1/1): Progress generates AI-related revenue through its Agentic RAG platform, Semaphore Semantic AI for metadata management, AI-powered anomaly detection in Flowmon, and AI-prompt components embedded in developer tools, with AI capabilities integrated across the portfolio serving 200,000+ organizations [2][3].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55</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Regulatory Adherence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Progress Software Q2 FY2026 Earnings Release — Revenue $253M (+7% YoY), Full-Year Guidance Raised to $1.044-1.052B, EPS $6.15-$6.23, SEC Filing, 2026</w:t>
      </w:r>
    </w:p>
    <w:p>
      <w:pPr>
        <w:spacing w:before="20" w:after="20"/>
        <w:ind w:left="170"/>
      </w:pPr>
      <w:r>
        <w:rPr>
          <w:rFonts w:ascii="Calibri" w:hAnsi="Calibri"/>
          <w:b/>
          <w:color w:val="4A6B25"/>
          <w:sz w:val="15"/>
        </w:rPr>
        <w:t xml:space="preserve">2. </w:t>
      </w:r>
      <w:r>
        <w:rPr>
          <w:rFonts w:ascii="Calibri" w:hAnsi="Calibri"/>
          <w:b w:val="0"/>
          <w:color w:val="3A4A28"/>
          <w:sz w:val="17"/>
        </w:rPr>
        <w:t>Progress Software Q3 FY2026 Earnings Report — EPS Beat, Domo Acquisition Detailed, Operating Margin 43% (+300bps YoY), GuruFocus/Investing.com, September 2026</w:t>
      </w:r>
    </w:p>
    <w:p>
      <w:pPr>
        <w:spacing w:before="20" w:after="20"/>
        <w:ind w:left="170"/>
      </w:pPr>
      <w:r>
        <w:rPr>
          <w:rFonts w:ascii="Calibri" w:hAnsi="Calibri"/>
          <w:b/>
          <w:color w:val="4A6B25"/>
          <w:sz w:val="15"/>
        </w:rPr>
        <w:t xml:space="preserve">3. </w:t>
      </w:r>
      <w:r>
        <w:rPr>
          <w:rFonts w:ascii="Calibri" w:hAnsi="Calibri"/>
          <w:b w:val="0"/>
          <w:color w:val="3A4A28"/>
          <w:sz w:val="17"/>
        </w:rPr>
        <w:t>Progress Software Company Profile, AI Strategy, &amp; CEO Yogesh Gupta — EY Entrepreneur of the Year 2025, AI-Powered Platform, Glassdoor 3.8/5 Rating, Progress.com, 2025-2026</w:t>
      </w:r>
    </w:p>
    <w:p>
      <w:pPr>
        <w:spacing w:before="20" w:after="20"/>
        <w:ind w:left="170"/>
      </w:pPr>
      <w:r>
        <w:rPr>
          <w:rFonts w:ascii="Calibri" w:hAnsi="Calibri"/>
          <w:b/>
          <w:color w:val="4A6B25"/>
          <w:sz w:val="15"/>
        </w:rPr>
        <w:t xml:space="preserve">4. </w:t>
      </w:r>
      <w:r>
        <w:rPr>
          <w:rFonts w:ascii="Calibri" w:hAnsi="Calibri"/>
          <w:b w:val="0"/>
          <w:color w:val="3A4A28"/>
          <w:sz w:val="17"/>
        </w:rPr>
        <w:t>Progress Software 2025 Corporate Social Responsibility Report — 'Progress for Tomorrow' Program, Investors.progress.com, 2025</w:t>
      </w:r>
    </w:p>
    <w:p>
      <w:pPr>
        <w:spacing w:before="20" w:after="20"/>
        <w:ind w:left="170"/>
      </w:pPr>
      <w:r>
        <w:rPr>
          <w:rFonts w:ascii="Calibri" w:hAnsi="Calibri"/>
          <w:b/>
          <w:color w:val="4A6B25"/>
          <w:sz w:val="15"/>
        </w:rPr>
        <w:t xml:space="preserve">5. </w:t>
      </w:r>
      <w:r>
        <w:rPr>
          <w:rFonts w:ascii="Calibri" w:hAnsi="Calibri"/>
          <w:b w:val="0"/>
          <w:color w:val="3A4A28"/>
          <w:sz w:val="17"/>
        </w:rPr>
        <w:t>Yahoo Finance — PRGS Key Statistics and Financial Data, accessed October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