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PRHI</w:t>
      </w:r>
      <w:r>
        <w:rPr>
          <w:rFonts w:ascii="Calibri" w:hAnsi="Calibri"/>
          <w:b/>
          <w:color w:val="1A2010"/>
          <w:sz w:val="40"/>
        </w:rPr>
        <w:t xml:space="preserve">  Presurance Holdings, Inc.</w:t>
      </w:r>
    </w:p>
    <w:p>
      <w:pPr>
        <w:spacing w:after="120"/>
      </w:pPr>
      <w:r>
        <w:rPr>
          <w:rFonts w:ascii="Calibri" w:hAnsi="Calibri"/>
          <w:b/>
          <w:color w:val="6E8450"/>
          <w:sz w:val="18"/>
        </w:rPr>
        <w:t>GROWTH SLEEVE · 2026-10-06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Insurance - Property &amp; Casualty · NASDAQ · United States</w:t>
      </w:r>
    </w:p>
    <w:p>
      <w:pPr>
        <w:spacing w:after="80"/>
      </w:pPr>
      <w:r>
        <w:rPr>
          <w:rFonts w:ascii="Calibri" w:hAnsi="Calibri"/>
          <w:b w:val="0"/>
          <w:color w:val="3A4A28"/>
          <w:sz w:val="20"/>
        </w:rPr>
        <w:t>Presurance Holdings is a Troy, Michigan insurance holding company that has pivoted from specialty commercial lines to personal lines (homeowners and dwelling fire) in Texas, Illinois and Indiana while running off commercial lines. H1 2026 net income doubled to $5.2M with a 86.4% combined ratio versus 131.2%, but trailing revenue is down about 35% on the run-off and the $28M market cap trades on roughly 17K shares per day.</w:t>
      </w:r>
    </w:p>
    <w:p>
      <w:r>
        <w:rPr>
          <w:rFonts w:ascii="Calibri" w:hAnsi="Calibri"/>
          <w:b/>
          <w:color w:val="6E8450"/>
          <w:sz w:val="18"/>
        </w:rPr>
        <w:t>https://www.presurance.com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scores 1 for the pivot from specialty commercial to personal lines (personal premium +12.7%, commercial down 67% in run-off) [1]. No AI deployment, share leadership, named pipeline or R&amp;D intensity evidence found, so those items score 0.</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 generic specialty-insurer positioning with no distinctive purpose found [1]. Insider buying scores 1 as CEO Brian Roney bought 7,500 shares on Sept 30, 2026 (about $50K, holding 80,390 shares) [2]; no community or retention data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16,720 avg daily shares x $7.50 = about $125K, below $1M, so Infrastructure = 0 regardless of D/E 73%, ROE -57% and margin -53%.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Insurer in a turnaround: underwriting improved sharply but scale, liquidity and a forced strategic pivot signal survival-mode play rather than endurance.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Purpose reads as boilerplate specialty-insurer positioning; strategic decisions are driven by combined-ratio repair rather than a distinct cause [1].</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Stable leadership under CEO Roney with insider purchases, but no culture, tenure or turnover evidence found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No evidence of competitive learning mindset; language centers on turnaround metrics.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Moved from specialty commercial to personal lines; meaningful but forced by losses rather than a Just Cause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Exiting commercial lines (-67% premium) and absorbing a 35% revenue decline to fix a 131% combined ratio is a costly, principled retreat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Underwriting repair is real: H1 2026 combined ratio fell to 86.4% from 131.2% and net income doubled to $5.2M ($1.66/share) [1]. Personal lines premium is growing 12.7% while commercial run-off ends, and the CEO added 7,500 shares at the end of September [2].</w:t>
      </w:r>
    </w:p>
    <w:p>
      <w:pPr>
        <w:spacing w:after="120"/>
      </w:pPr>
      <w:r>
        <w:rPr>
          <w:rFonts w:ascii="Calibri" w:hAnsi="Calibri"/>
          <w:b w:val="0"/>
          <w:color w:val="3A4A28"/>
          <w:sz w:val="20"/>
        </w:rPr>
        <w:t>The bear case is scale and liquidity. Trailing revenue is down about 35%, ROE is -57%, profit margin is -53%, market cap is $28M and daily dollar volume is about $125K, below the $1M IOWN liquidity floor, so Infrastructure scores 0. Catastrophe exposure in Texas homeowners could reverse the combined ratio in one season.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Completion of commercial run-off leaving a pure personal-lines book growing at double digits</w:t>
      </w:r>
    </w:p>
    <w:p>
      <w:pPr>
        <w:spacing w:before="40" w:after="40"/>
        <w:ind w:left="283"/>
      </w:pPr>
      <w:r>
        <w:rPr>
          <w:rFonts w:ascii="Calibri" w:hAnsi="Calibri"/>
          <w:b/>
          <w:color w:val="4A6B25"/>
          <w:sz w:val="20"/>
        </w:rPr>
        <w:t xml:space="preserve">2. </w:t>
      </w:r>
      <w:r>
        <w:rPr>
          <w:rFonts w:ascii="Calibri" w:hAnsi="Calibri"/>
          <w:b w:val="0"/>
          <w:color w:val="3A4A28"/>
          <w:sz w:val="20"/>
        </w:rPr>
        <w:t>Sustained combined ratio below 90% rebuilding book value</w:t>
      </w:r>
    </w:p>
    <w:p>
      <w:pPr>
        <w:spacing w:before="40" w:after="40"/>
        <w:ind w:left="283"/>
      </w:pPr>
      <w:r>
        <w:rPr>
          <w:rFonts w:ascii="Calibri" w:hAnsi="Calibri"/>
          <w:b/>
          <w:color w:val="4A6B25"/>
          <w:sz w:val="20"/>
        </w:rPr>
        <w:t xml:space="preserve">3. </w:t>
      </w:r>
      <w:r>
        <w:rPr>
          <w:rFonts w:ascii="Calibri" w:hAnsi="Calibri"/>
          <w:b w:val="0"/>
          <w:color w:val="3A4A28"/>
          <w:sz w:val="20"/>
        </w:rPr>
        <w:t>Continued insider purchases following the September CEO buy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Texas catastrophe/hail losses on a concentrated homeowners book against thin capital</w:t>
      </w:r>
    </w:p>
    <w:p>
      <w:pPr>
        <w:spacing w:before="40" w:after="40"/>
        <w:ind w:left="283"/>
      </w:pPr>
      <w:r>
        <w:rPr>
          <w:rFonts w:ascii="Calibri" w:hAnsi="Calibri"/>
          <w:b/>
          <w:color w:val="4A6B25"/>
          <w:sz w:val="20"/>
        </w:rPr>
        <w:t xml:space="preserve">2. </w:t>
      </w:r>
      <w:r>
        <w:rPr>
          <w:rFonts w:ascii="Calibri" w:hAnsi="Calibri"/>
          <w:b w:val="0"/>
          <w:color w:val="3A4A28"/>
          <w:sz w:val="20"/>
        </w:rPr>
        <w:t>Daily trading under $130K makes exits impractical and fails the IOWN liquidity floor</w:t>
      </w:r>
    </w:p>
    <w:p>
      <w:pPr>
        <w:spacing w:before="40" w:after="40"/>
        <w:ind w:left="283"/>
      </w:pPr>
      <w:r>
        <w:rPr>
          <w:rFonts w:ascii="Calibri" w:hAnsi="Calibri"/>
          <w:b/>
          <w:color w:val="4A6B25"/>
          <w:sz w:val="20"/>
        </w:rPr>
        <w:t xml:space="preserve">3. </w:t>
      </w:r>
      <w:r>
        <w:rPr>
          <w:rFonts w:ascii="Calibri" w:hAnsi="Calibri"/>
          <w:b w:val="0"/>
          <w:color w:val="3A4A28"/>
          <w:sz w:val="20"/>
        </w:rPr>
        <w:t>Run-off of commercial lines is shrinking revenue about 35% YoY, with negative ROE (-57%)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Personal-lines P&amp;C risk-bearing is state-regulated and capital-based, so AI does not substitute underwriting capacity, but AI-driven pricing and distribution favor larger carriers against a $28M-cap insurer; no analyst coverage of AI risk for PRHI was found [1][2]. No AI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Presurance Holdings Q2 2026 Results, Nasdaq/SEC 8-K, August 2026</w:t>
      </w:r>
    </w:p>
    <w:p>
      <w:pPr>
        <w:spacing w:before="20" w:after="20"/>
        <w:ind w:left="170"/>
      </w:pPr>
      <w:r>
        <w:rPr>
          <w:rFonts w:ascii="Calibri" w:hAnsi="Calibri"/>
          <w:b/>
          <w:color w:val="4A6B25"/>
          <w:sz w:val="15"/>
        </w:rPr>
        <w:t xml:space="preserve">2. </w:t>
      </w:r>
      <w:r>
        <w:rPr>
          <w:rFonts w:ascii="Calibri" w:hAnsi="Calibri"/>
          <w:b w:val="0"/>
          <w:color w:val="3A4A28"/>
          <w:sz w:val="17"/>
        </w:rPr>
        <w:t>Presurance CEO Brian Roney Form 4 purchase, Investing.com,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