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PRKS</w:t>
      </w:r>
      <w:r>
        <w:rPr>
          <w:rFonts w:ascii="Calibri" w:hAnsi="Calibri"/>
          <w:b/>
          <w:color w:val="1A2010"/>
          <w:sz w:val="40"/>
        </w:rPr>
        <w:t xml:space="preserve">  United Parks &amp; Resorts Inc.</w:t>
      </w:r>
    </w:p>
    <w:p>
      <w:pPr>
        <w:spacing w:after="120"/>
      </w:pPr>
      <w:r>
        <w:rPr>
          <w:rFonts w:ascii="Calibri" w:hAnsi="Calibri"/>
          <w:b/>
          <w:color w:val="6E8450"/>
          <w:sz w:val="18"/>
        </w:rPr>
        <w:t>GROWTH SLEEVE · 2026-09-29 · Inspire: 38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Leisure · NYSE · United States</w:t>
      </w:r>
    </w:p>
    <w:p>
      <w:pPr>
        <w:spacing w:after="80"/>
      </w:pPr>
      <w:r>
        <w:rPr>
          <w:rFonts w:ascii="Calibri" w:hAnsi="Calibri"/>
          <w:b w:val="0"/>
          <w:color w:val="3A4A28"/>
          <w:sz w:val="20"/>
        </w:rPr>
        <w:t>United Parks &amp; Resorts Inc. (formerly SeaWorld Entertainment, rebranded February 2024) operates theme parks and entertainment destinations across the United States, including marine-life parks under the SeaWorld brand in San Diego, Orlando, and San Antonio; Busch Gardens family destination parks in Tampa Bay and Williamsburg; Aquatica water parks; Discovery Cove; and Sesame Place parks in Philadelphia and San Diego. Founded in 1959 and headquartered in Orlando, the company reported H1 2026 revenue of $761.6M with 9.3M guests and generated $97M in free cash flow on a trailing basis, but carries $2.4B in debt against negative stockholders' equity.</w:t>
      </w:r>
    </w:p>
    <w:p>
      <w:r>
        <w:rPr>
          <w:rFonts w:ascii="Calibri" w:hAnsi="Calibri"/>
          <w:b/>
          <w:color w:val="6E8450"/>
          <w:sz w:val="18"/>
        </w:rPr>
        <w:t>3,300 Employees · https://www.unitedparks.com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Revenue declined 1.4% in Q2 2026 to $483.3M with attendance down 2.9% to 6.1M guests, continuing a multi-year attendance softness trend [1]. However, total revenue per capita rose 2.1% to $86.43 and in-park per capita spending hit a record $40.62 (+5.3%), demonstrating pricing power even as traffic declines [1]. The 2024 rebrand from SeaWorld to United Parks was cosmetic rather than transformative. AI Deployment (0/2): No evidence of AI-powered guest products or quantified AI-driven operational savings found in company disclosures [2]. Market Share (1/2): United Parks operates iconic brands (SeaWorld, Busch Gardens, Sesame Place) but is not a category leader against Disney, Universal, and Six Flags; Q2 attendance declines suggest stable-to-declining share in the competitive Florida and Virginia theme park markets [1]. Pipeline (1/2): New IP partnerships and annual ride additions provide incremental attractions; management expects growth in the back half of 2026 driven by these investments. R&amp;D Intensity (1/1): Continuous capital investment in new attractions and park upgrades, with leadership restructuring (Kyle Miller promoted to President after 30+ years) signaling operational commitment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United Parks' stated purpose to 'inspire guests to protect animals and the wild wonders of the world' through conservation, education, and entertainment is clear and specific, backed by genuine programmatic action, but credibility has been repeatedly challenged by animal-welfare controversy and the Blackfish documentary's lingering brand impact [4]. Community Impact (2/2): The SeaWorld &amp; Busch Gardens Conservation Fund has donated $16.5M+ supporting 1,200+ conservation projects on all seven continents, and the company's rescue program is credited with over 100,000 marine animal rescues [3][4]. AZA and AMMPA accreditation provide third-party validation. Employee Retention (1/2): Newly promoted President Kyle Miller has spent 30+ years at the company, and CEO Marc Swanson has served since 2020 (6+ years at $4.89M total compensation), demonstrating meaningful internal talent development [2]. However, earlier Glassdoor reviews cited poor corporate culture, and seasonal workforce dynamics limit retention assessment. Insider Buying (0/2): No evidence of meaningful net insider buying by CEO Swanson or other executives.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Growth-sleeve metrics. United Parks carries negative stockholders' equity (-$435.8M deficit) against $2.41B in total debt, producing a D/E that exceeds any meaningful ratio — scored at the floor (0.0) [1][5]. ROE is undefined with negative equity, also floored at 0.0 (2x weight). Revenue growth YoY of -1.4% scores 0.62 against the -20% to +10% range, and estimated 5-year revenue CAGR of approximately -1.4% scores 0.24 (2x weight) [1]. Forward P/E of 7.38 is deeply discounted below the 20 target (score 1.0) — the cheapest in our screening universe and reflecting extreme market pessimism. Profit margin of 8.11% scores 0.41 against the 20% target. PEG excluded (null). Short interest of 32.8% — among the highest on major exchanges — signals significant bearish conviction [5]. Daily dollar volume of ~$21M provides adequate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United Parks shows a partially genuine but inconsistently executed sense of purpose. The conservation mission is backed by real programs ($16.5M+ in conservation funding, 100,000+ animal rescues, AZA accreditation), and the September 2026 promotion of 30-year veteran Kyle Miller to President demonstrates internal talent development. However, the legacy of Blackfish-era animal welfare controversy, negative stockholders' equity from aggressive leveraging, and declining attendance create tension between stated purpose and financial reality.</w:t>
      </w:r>
    </w:p>
    <w:p>
      <w:pPr>
        <w:spacing w:before="200" w:after="40"/>
      </w:pPr>
      <w:r>
        <w:rPr>
          <w:rFonts w:ascii="Calibri" w:hAnsi="Calibri"/>
          <w:b/>
          <w:color w:val="1A2010"/>
          <w:sz w:val="22"/>
        </w:rPr>
        <w:t>Just Cause</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 conservation mission is substantiated by the SeaWorld &amp; Busch Gardens Conservation Fund ($16.5M+, 1,200+ projects across all 7 continents) and a marine animal rescue program credited with 100,000+ rescues [3][4]. AZA and AMMPA accreditation provide institutional validation. However, the mission's credibility was severely damaged by Blackfish-era orca breeding controversies, and the February 2024 rebrand to United Parks suggests management itself sees the SeaWorld name as a liability rather than a purpose anchor.</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September 2026 promotion of Kyle Miller to President after 30+ years at the company, described as having 'unique understanding of the business and culture,' demonstrates that internal talent development is valued, and CEO Swanson's 6+ year tenure provides leadership stability [2]. However, earlier Glassdoor reviews cited 'horrible corporate culture,' the departure of Chief Commercial Officer Christopher Finazzo alongside the Miller/Maupin promotions suggests some organizational friction, and the 3,300 full-time workforce manages operations largely through seasonal labor.</w:t>
      </w:r>
    </w:p>
    <w:p>
      <w:pPr>
        <w:spacing w:before="200" w:after="40"/>
      </w:pPr>
      <w:r>
        <w:rPr>
          <w:rFonts w:ascii="Calibri" w:hAnsi="Calibri"/>
          <w:b/>
          <w:color w:val="1A2010"/>
          <w:sz w:val="22"/>
        </w:rPr>
        <w:t>Worthy Rivals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United Parks competes against Disney, Universal, and Six Flags in an industry where guest experience comparisons are constant and visible. The company's investments in new IP partnerships and per-capita spending optimization suggest learning from competitors' content-driven strategies, though public communications frame competition primarily in attendance and market-share terms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2024 rebrand from SeaWorld Entertainment to United Parks &amp; Resorts, expansion of the Sesame Place brand to San Diego, and broadening from marine-focused to multi-format parks demonstrate portfolio diversification intent [1]. However, the core theme-park-and-live-entertainment business model remains unchanged since founding in 1959, and the company lacks the streaming, hospitality, or content arms that Disney uses for ecosystem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2016 decision to end orca breeding sacrificed a signature attraction and near-term revenue, and the company has continued investing in conservation programs despite financial pressures ($2.4B debt, declining attendance) [4]. However, the orca decision was made under sustained public and activist pressure following Blackfish rather than proactively, and management's aggressive share buyback program that created negative equity prioritized financial engineering over long-term balance sheet health.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United Parks &amp; Resorts at 7.4x forward earnings represents one of the deepest value plays in the leisure sector, pricing in significant pessimism about attendance trends, leverage, and the 32.8% short interest overhang [5]. The underlying business generates $410M in operating cash flow and $97M in free cash flow on $1.65B in revenue, demonstrating that the theme park model remains profitable despite declining traffic [1]. Record in-park per capita spending of $40.62 (+5.3% in Q2 2026) proves pricing power, and H1 2026 Adjusted EBITDA of $253.5M supports debt service. The September 2026 leadership restructuring — promoting 30-year veteran Kyle Miller to President and Scott Maupin to CPOO — signals a more operationally focused management team targeting the back-half growth management has guided [2].</w:t>
      </w:r>
    </w:p>
    <w:p>
      <w:pPr>
        <w:spacing w:after="120"/>
      </w:pPr>
      <w:r>
        <w:rPr>
          <w:rFonts w:ascii="Calibri" w:hAnsi="Calibri"/>
          <w:b w:val="0"/>
          <w:color w:val="3A4A28"/>
          <w:sz w:val="20"/>
        </w:rPr>
        <w:t>The bear case is substantial and well-funded (32.8% short interest). Negative stockholders' equity of -$435.8M against $2.41B in total debt with only $19.1M cash creates severe refinancing and solvency risk — the company relies entirely on operating cash flow to service its obligations [5]. Revenue has declined from $1.73B (2022) to $1.65B (TTM), attendance is falling (Q2 2026 -2.9%, Q1 -5.1%), and EPS declined 7.6% YoY despite the forward PE compression from $44 to $32 [1]. The stock has fallen 42% from its $55.71 52-week high, and the massive short interest suggests institutional conviction that the leveraged balance sheet is unsustainable if attendance trends do not reverse. Blackfish-era reputational damage continues to linger despite the 2024 rebrand, and competition from Universal's Epic Universe (opened June 2025 in Orlando) threatens market share in the company's core Florida geography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in-park per capita spending ($40.62, +5.3%) and revenue per capita ($86.43, +2.1%) demonstrate pricing power that could stabilize revenue even at lower attendance levels [1]</w:t>
      </w:r>
    </w:p>
    <w:p>
      <w:pPr>
        <w:spacing w:before="40" w:after="40"/>
        <w:ind w:left="283"/>
      </w:pPr>
      <w:r>
        <w:rPr>
          <w:rFonts w:ascii="Calibri" w:hAnsi="Calibri"/>
          <w:b/>
          <w:color w:val="4A6B25"/>
          <w:sz w:val="20"/>
        </w:rPr>
        <w:t xml:space="preserve">2. </w:t>
      </w:r>
      <w:r>
        <w:rPr>
          <w:rFonts w:ascii="Calibri" w:hAnsi="Calibri"/>
          <w:b w:val="0"/>
          <w:color w:val="3A4A28"/>
          <w:sz w:val="20"/>
        </w:rPr>
        <w:t>September 2026 leadership restructuring with 30-year veteran Kyle Miller as President and new CPOO Scott Maupin could improve operational execution and drive back-half growth management has guided [2]</w:t>
      </w:r>
    </w:p>
    <w:p>
      <w:pPr>
        <w:spacing w:before="40" w:after="40"/>
        <w:ind w:left="283"/>
      </w:pPr>
      <w:r>
        <w:rPr>
          <w:rFonts w:ascii="Calibri" w:hAnsi="Calibri"/>
          <w:b/>
          <w:color w:val="4A6B25"/>
          <w:sz w:val="20"/>
        </w:rPr>
        <w:t xml:space="preserve">3. </w:t>
      </w:r>
      <w:r>
        <w:rPr>
          <w:rFonts w:ascii="Calibri" w:hAnsi="Calibri"/>
          <w:b w:val="0"/>
          <w:color w:val="3A4A28"/>
          <w:sz w:val="20"/>
        </w:rPr>
        <w:t>Forward P/E of 7.38x prices in extreme pessimism — any stabilization in attendance or acceleration in per capita spending could trigger a re-rating given the free cash flow generation ($97M trailing)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Negative stockholders' equity (-$435.8M) against $2.41B in total debt with only $19.1M cash creates severe balance-sheet fragility — the company is entirely dependent on operating cash flow, and any attendance shock could trigger covenant issues [5]</w:t>
      </w:r>
    </w:p>
    <w:p>
      <w:pPr>
        <w:spacing w:before="40" w:after="40"/>
        <w:ind w:left="283"/>
      </w:pPr>
      <w:r>
        <w:rPr>
          <w:rFonts w:ascii="Calibri" w:hAnsi="Calibri"/>
          <w:b/>
          <w:color w:val="4A6B25"/>
          <w:sz w:val="20"/>
        </w:rPr>
        <w:t xml:space="preserve">2. </w:t>
      </w:r>
      <w:r>
        <w:rPr>
          <w:rFonts w:ascii="Calibri" w:hAnsi="Calibri"/>
          <w:b w:val="0"/>
          <w:color w:val="3A4A28"/>
          <w:sz w:val="20"/>
        </w:rPr>
        <w:t>Short interest at 32.8% reflects deep institutional bearishness on the leveraged theme park model, and the stock's 42% decline from its 52-week high of $55.71 shows momentum is strongly negative [5]</w:t>
      </w:r>
    </w:p>
    <w:p>
      <w:pPr>
        <w:spacing w:before="40" w:after="40"/>
        <w:ind w:left="283"/>
      </w:pPr>
      <w:r>
        <w:rPr>
          <w:rFonts w:ascii="Calibri" w:hAnsi="Calibri"/>
          <w:b/>
          <w:color w:val="4A6B25"/>
          <w:sz w:val="20"/>
        </w:rPr>
        <w:t xml:space="preserve">3. </w:t>
      </w:r>
      <w:r>
        <w:rPr>
          <w:rFonts w:ascii="Calibri" w:hAnsi="Calibri"/>
          <w:b w:val="0"/>
          <w:color w:val="3A4A28"/>
          <w:sz w:val="20"/>
        </w:rPr>
        <w:t>Universal's Epic Universe (opened June 2025 in Orlando) represents a major competitive threat in the company's core Florida market, potentially accelerating attendance declines at SeaWorld Orlando and Aquatica while the Blackfish reputational overhang persists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United Parks' core business is physical, in-person entertainment — marine-life encounters, thrill rides, water parks, and live animal exhibits — experiences that AI cannot replicate or substitute [1]. Guest-facing operations may adopt AI tools (dynamic pricing, personalized recommendations, crowd management), but no analyst commentary flags AI substitution risk to the fundamental attraction business. Record in-park per capita spending of $40.62 (+5.3% in Q2 2026) demonstrates that the physical experience retains pricing power in an AI era [1]. The competitive risk is indirect: Disney and Universal are investing heavily in AI-enhanced park experiences, potentially widening the experience gap. AI Opportunity (0/1): No quantified AI-related revenue, cost savings, or specific AI deployment initiatives were disclosed in company filings or earnings calls.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United Parks &amp; Resorts Q1 &amp; Q2 2026 Earnings Results — PRNewswire, Yahoo Finance Earnings Call Transcript, TipRanks, August 2026</w:t>
      </w:r>
    </w:p>
    <w:p>
      <w:pPr>
        <w:spacing w:before="20" w:after="20"/>
        <w:ind w:left="170"/>
      </w:pPr>
      <w:r>
        <w:rPr>
          <w:rFonts w:ascii="Calibri" w:hAnsi="Calibri"/>
          <w:b/>
          <w:color w:val="4A6B25"/>
          <w:sz w:val="15"/>
        </w:rPr>
        <w:t xml:space="preserve">2. </w:t>
      </w:r>
      <w:r>
        <w:rPr>
          <w:rFonts w:ascii="Calibri" w:hAnsi="Calibri"/>
          <w:b w:val="0"/>
          <w:color w:val="3A4A28"/>
          <w:sz w:val="17"/>
        </w:rPr>
        <w:t>United Parks &amp; Resorts Leadership Changes — StockTitan, TipRanks, Yahoo Finance, September 2026; Simply Wall St Management Analysis</w:t>
      </w:r>
    </w:p>
    <w:p>
      <w:pPr>
        <w:spacing w:before="20" w:after="20"/>
        <w:ind w:left="170"/>
      </w:pPr>
      <w:r>
        <w:rPr>
          <w:rFonts w:ascii="Calibri" w:hAnsi="Calibri"/>
          <w:b/>
          <w:color w:val="4A6B25"/>
          <w:sz w:val="15"/>
        </w:rPr>
        <w:t xml:space="preserve">3. </w:t>
      </w:r>
      <w:r>
        <w:rPr>
          <w:rFonts w:ascii="Calibri" w:hAnsi="Calibri"/>
          <w:b w:val="0"/>
          <w:color w:val="3A4A28"/>
          <w:sz w:val="17"/>
        </w:rPr>
        <w:t>SeaWorld &amp; Busch Gardens Conservation Fund and Animal Welfare Programs — unitedparks.com, seaworld.org,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United Parks &amp; Resorts Mission and Social Impact — unitedparks.com,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PRKS Key Statistics, Short Interest, Financial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