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PRME</w:t>
      </w:r>
      <w:r>
        <w:rPr>
          <w:rFonts w:ascii="Calibri" w:hAnsi="Calibri"/>
          <w:b/>
          <w:color w:val="1A2010"/>
          <w:sz w:val="40"/>
        </w:rPr>
        <w:t xml:space="preserve">  Prime Medicine, Inc.</w:t>
      </w:r>
    </w:p>
    <w:p>
      <w:pPr>
        <w:spacing w:after="120"/>
      </w:pPr>
      <w:r>
        <w:rPr>
          <w:rFonts w:ascii="Calibri" w:hAnsi="Calibri"/>
          <w:b/>
          <w:color w:val="6E8450"/>
          <w:sz w:val="18"/>
        </w:rPr>
        <w:t>GROWTH SLEEVE · 2026-09-04 · Inspire: 42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Prime Medicine, Inc. is a clinical-stage biotechnology company developing a new class of gene editing therapies using proprietary prime editing technology licensed from the Broad Institute. The platform enables precise, programmable gene modifications without double-strand DNA breaks. The pipeline includes PM359 for Chronic Granulomatous Disease (CGD, Phase 1/2 with BLA filing engagement), PM577a for Wilson Disease (global Phase 1/2 study initiating H2 2026), and PM647 for Alpha-1 Antitrypsin Deficiency (IND/CTA filing Q3 2026). In Q2 2026, the company reported a net loss of $42.1M with $95.1M in cash (pre-$125M fundraise). Going concern language was disclosed due to near-term liquidity constraints. Founded in 2019, headquartered in Cambridge, Massachusetts.</w:t>
      </w:r>
    </w:p>
    <w:p>
      <w:r>
        <w:rPr>
          <w:rFonts w:ascii="Calibri" w:hAnsi="Calibri"/>
          <w:b/>
          <w:color w:val="6E8450"/>
          <w:sz w:val="18"/>
        </w:rPr>
        <w:t>140 Employees · https://www.primemedicine.com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Prime Medicine is built on prime editing technology developed by David Liu at the Broad Institute — a fundamentally new approach to gene editing that enables precise insertions, deletions, and substitutions without double-strand breaks [2]. PM359 for Chronic Granulomatous Disease demonstrated proof-of-concept in the first two patients treated in Phase 1/2, and the company is engaging FDA on a potential BLA filing — a significant clinical milestone for a company founded in 2019 [1]. The May 2025 strategic pivot to focus on in vivo liver diseases represents a major refocusing event. AI Deployment (0/2): No evidence of AI-powered products or quantified AI-driven R&amp;D acceleration [1]. Market Share (1/2): Prime Medicine is a pioneer and one of very few companies developing prime editing therapeutics, occupying a distinctive position in the gene editing landscape alongside CRISPR and base editing platforms [2]. However, it is pre-commercial with zero market share in any therapeutic category. Product Pipeline (2/2): Specific pipeline with clear timelines — PM577 IND/CTA filing for Wilson Disease in H1 2026, PM647 IND filing for Alpha-1 Antitrypsin Deficiency in mid-2026, PM359 BLA engagement for CGD, and initial clinical data expected from PM577 and PM647 in 2027 [1]. R&amp;D Intensity (1/1): As a clinical-stage biotech, R&amp;D of $34.1M in Q1 2026 represents the vast majority of spending — the company exists to do R&amp;D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Prime Medicine's purpose — developing precise gene editing therapies to treat and potentially cure genetic diseases — is specific, thoughtful, and connected to a meaningful larger purpose of alleviating human suffering from genetic conditions [5]. The prime editing platform genuinely represents a new therapeutic modality that could transform treatment of genetic diseases. This is clearly intentional and scientifically grounded. Community Impact (0/2): No evidence of significant charitable programs or community investment; as a small clinical-stage biotech, resources are focused on R&amp;D and survival [1]. Employee Retention (0/2): The company laid off 25% of staff in May 2025 during its strategic restructuring, and founding CEO Keith Gottesdiener departed simultaneously [3]. This level of organizational disruption signals significant instability, though it was framed as strategic refocusing. Insider Buying (0/2): No evidence of meaningful insider buying. The July 2026 $125M fundraise indicates capital needs that could dilute existing holders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for a pre-revenue clinical-stage biotech. Cash, cash equivalents, and short-term investments totaled $95.1M as of June 30, 2026, with the $125M July 2026 fundraise extending post-raise liquidity to approximately $220M and runway into mid-2027 [1][5]. Q2 2026 net loss narrowed to $42.1M from Q1's $49.1M, but accumulated deficit reached $979.6M and management disclosed going concern language [1]. All profitability metrics are at floor: deeply negative profit margins and ROE on negligible collaboration revenue. D/E is minimal given the company's limited debt obligations. Forward PE, PEG, revenue growth, and revenue CAGR are all excluded as not applicable for a pre-revenue company. Liquidity floor cleared: ~4.0M avg vol x $3.41 = $13.6M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Prime Medicine shows elements of both infinite and finite game thinking. The company's foundational purpose — curing genetic diseases through a breakthrough gene editing platform — is genuinely meaningful and connects to a vision larger than the company itself. However, the 2025 restructuring, CEO departure, and 25% workforce reduction reveal the tension between mission and survival. New CEO Allan Reine brings proven gene therapy commercialization experience from Spark Therapeutics, but the organization is still stabilizing from significant disruption.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purpose of developing prime editing therapies to treat genetic diseases is genuine, forward-looking, and connected to human wellbeing — curing Wilson Disease, CGD, and AATD represents a meaningful vision of a better future for patients with these conditions [1]. The technology platform itself (precise gene editing without double-strand breaks) represents a specific vision for how genetic medicine should work. However, the company is only seven years old and hasn't yet proven this cause through extended adversity or leadership transitions — the 2025 CEO departure and pivot suggest the cause is still being shaped [2][3].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May 2025 restructuring eliminated 25% of the workforce, and founding CEO Keith Gottesdiener departed simultaneously — these are markers of organizational instability, not trust [3]. The new leadership team under CEO Allan Reine and Executive Chair Jeff Marrazzo is described as maintaining 'the culture of innovative thinking, scientific rigor and collaboration,' but this is aspirational language during a transition, not evidence of established trust [2]. G&amp;A expenses increased to $17.4M partly due to arbitration-related legal costs, suggesting internal or partner disputes [1].</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Prime Medicine explicitly positions its prime editing platform relative to CRISPR-Cas9 and base editing technologies, acknowledging each platform's strengths while articulating prime editing's differentiated advantages (precision, no double-strand breaks, ability to make all 12 types of point mutations plus insertions and deletions) [2]. This is healthy competitive awareness — using rivals' strengths to clarify your own value proposition rather than dismissing alternatives.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May 2025 strategic pivot from a broad pipeline (including ex vivo hematology programs) to focused in vivo liver diseases and cystic fibrosis demonstrated willingness to make painful choices — discontinuing programs and reducing headcount to concentrate resources on the highest-value opportunities [2][3]. However, this pivot was driven partly by financial constraints (limited cash runway) rather than purely by the Just Cause, and the company is too young to have faced a true existential flexibility test.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narrow the pipeline and restructure in May 2025, while losing the founding CEO, required leadership courage — killing programs that scientists had invested years in and laying off colleagues to focus resources on the most promising liver disease opportunities [3]. New CEO Allan Reine's track record at Spark Therapeutics (developed and launched LUXTURNA, the first FDA-approved gene therapy for a genetic disease, and executed the $4.8B sale to Roche) demonstrates a pattern of making consequential long-term bets in gene therapy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Prime Medicine represents a high-risk, high-reward opportunity in next-generation gene editing. The company's proprietary prime editing platform is one of the most precise gene editing technologies in development, and PM359 for CGD has demonstrated proof-of-concept in the first two patients treated, with FDA BLA engagement underway [1]. Two additional IND filings are planned for 2026 (PM577 Wilson Disease, PM647 AATD) with clinical data in 2027. New CEO Allan Reine brings exceptional credentials — he built Spark Therapeutics from founding to the world's first commercial gene therapy company and orchestrated its $4.8B sale to Roche [2]. At a $694M market cap, the stock trades at a fraction of the potential addressable market for liver genetic disease therapies. The $125M July 2026 fundraise extends the cash runway and signals institutional conviction [5].</w:t>
      </w:r>
    </w:p>
    <w:p>
      <w:pPr>
        <w:spacing w:after="120"/>
      </w:pPr>
      <w:r>
        <w:rPr>
          <w:rFonts w:ascii="Calibri" w:hAnsi="Calibri"/>
          <w:b w:val="0"/>
          <w:color w:val="3A4A28"/>
          <w:sz w:val="20"/>
        </w:rPr>
        <w:t>The bear case centers on binary clinical and financial risk. Cash of $149.2M as of March 2026 funds operations only into 2027, and the $159M annual cash burn rate (accelerating 42% YoY) creates perpetual dilution pressure — the $125M fundraise is necessary survival capital, not growth investment [1][4]. Prime editing is unproven at scale; PM359 CGD data is from only two patients, and the technology has never been tested in large genetic liver disease populations [1]. The CEO transition, 25% workforce reduction, and pipeline narrowing in 2025 introduced execution risk during a critical clinical development period [3]. Clinical-stage biotechs with no revenue, no approved products, and sub-$1B market caps carry substantial binary risk — positive data could drive a multi-bagger, but clinical failure or funding shortfall could result in near-total loss.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PM577 IND/CTA filing for Wilson Disease in H1 2026 and PM647 IND filing for Alpha-1 Antitrypsin Deficiency in mid-2026, with initial clinical data from both programs expected in 2027</w:t>
      </w:r>
    </w:p>
    <w:p>
      <w:pPr>
        <w:spacing w:before="40" w:after="40"/>
        <w:ind w:left="283"/>
      </w:pPr>
      <w:r>
        <w:rPr>
          <w:rFonts w:ascii="Calibri" w:hAnsi="Calibri"/>
          <w:b/>
          <w:color w:val="4A6B25"/>
          <w:sz w:val="20"/>
        </w:rPr>
        <w:t xml:space="preserve">2. </w:t>
      </w:r>
      <w:r>
        <w:rPr>
          <w:rFonts w:ascii="Calibri" w:hAnsi="Calibri"/>
          <w:b w:val="0"/>
          <w:color w:val="3A4A28"/>
          <w:sz w:val="20"/>
        </w:rPr>
        <w:t>PM359 CGD program advancing toward potential BLA filing following positive proof-of-concept data in first two patients, which would represent the first prime editing therapy to reach registration</w:t>
      </w:r>
    </w:p>
    <w:p>
      <w:pPr>
        <w:spacing w:before="40" w:after="40"/>
        <w:ind w:left="283"/>
      </w:pPr>
      <w:r>
        <w:rPr>
          <w:rFonts w:ascii="Calibri" w:hAnsi="Calibri"/>
          <w:b/>
          <w:color w:val="4A6B25"/>
          <w:sz w:val="20"/>
        </w:rPr>
        <w:t xml:space="preserve">3. </w:t>
      </w:r>
      <w:r>
        <w:rPr>
          <w:rFonts w:ascii="Calibri" w:hAnsi="Calibri"/>
          <w:b w:val="0"/>
          <w:color w:val="3A4A28"/>
          <w:sz w:val="20"/>
        </w:rPr>
        <w:t>$125M July 2026 fundraise extending cash runway beyond 2027 and providing capital to advance multiple clinical programs simultaneously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extends only into 2027 with $149.2M on hand and $159M annual burn rate accelerating 42% YoY — additional dilutive financings are inevitable before any product reaches market</w:t>
      </w:r>
    </w:p>
    <w:p>
      <w:pPr>
        <w:spacing w:before="40" w:after="40"/>
        <w:ind w:left="283"/>
      </w:pPr>
      <w:r>
        <w:rPr>
          <w:rFonts w:ascii="Calibri" w:hAnsi="Calibri"/>
          <w:b/>
          <w:color w:val="4A6B25"/>
          <w:sz w:val="20"/>
        </w:rPr>
        <w:t xml:space="preserve">2. </w:t>
      </w:r>
      <w:r>
        <w:rPr>
          <w:rFonts w:ascii="Calibri" w:hAnsi="Calibri"/>
          <w:b w:val="0"/>
          <w:color w:val="3A4A28"/>
          <w:sz w:val="20"/>
        </w:rPr>
        <w:t>Prime editing technology is unproven at clinical scale — PM359 proof-of-concept from two CGD patients is encouraging but far from the level of evidence needed for regulatory approval</w:t>
      </w:r>
    </w:p>
    <w:p>
      <w:pPr>
        <w:spacing w:before="40" w:after="40"/>
        <w:ind w:left="283"/>
      </w:pPr>
      <w:r>
        <w:rPr>
          <w:rFonts w:ascii="Calibri" w:hAnsi="Calibri"/>
          <w:b/>
          <w:color w:val="4A6B25"/>
          <w:sz w:val="20"/>
        </w:rPr>
        <w:t xml:space="preserve">3. </w:t>
      </w:r>
      <w:r>
        <w:rPr>
          <w:rFonts w:ascii="Calibri" w:hAnsi="Calibri"/>
          <w:b w:val="0"/>
          <w:color w:val="3A4A28"/>
          <w:sz w:val="20"/>
        </w:rPr>
        <w:t>CEO transition, 25% workforce reduction, and pipeline narrowing in 2025 created organizational disruption during a period when execution excellence is critical for clinical milestone delivery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Prime Medicine's core business — developing gene editing therapies through complex molecular biology, preclinical research, clinical trials, and FDA regulatory processes — is structurally immune to AI disruption [1][2]. Gene therapy development requires physical laboratory work, in vivo biological interactions, multi-year clinical trials with human patients, and regulatory approval pathways that AI cannot substitute. The biological complexity of prime editing — engineering guide RNAs, delivery vectors, and measuring editing outcomes in living organisms — involves physical-world operations far beyond AI's capabilities. AI may actually accelerate aspects of target identification, protein engineering, and clinical trial design, making it an enabler rather than a threat to this business. AI Opportunity (0/1): No AI revenue products. While AI tools may be used internally for computational biology and molecular design, Prime Medicine does not generate quantifiable revenue from AI-related products or services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Prime Medicine Q1 2026 Financial Results — net loss $49.1M, collaboration revenue $0.9M, R&amp;D $34.1M, cash $149.2M, investors.primemedicine.com, May 2026</w:t>
      </w:r>
    </w:p>
    <w:p>
      <w:pPr>
        <w:spacing w:before="20" w:after="20"/>
        <w:ind w:left="170"/>
      </w:pPr>
      <w:r>
        <w:rPr>
          <w:rFonts w:ascii="Calibri" w:hAnsi="Calibri"/>
          <w:b/>
          <w:color w:val="4A6B25"/>
          <w:sz w:val="15"/>
        </w:rPr>
        <w:t xml:space="preserve">2. </w:t>
      </w:r>
      <w:r>
        <w:rPr>
          <w:rFonts w:ascii="Calibri" w:hAnsi="Calibri"/>
          <w:b w:val="0"/>
          <w:color w:val="3A4A28"/>
          <w:sz w:val="17"/>
        </w:rPr>
        <w:t>Prime Medicine Strategic Restructuring and CEO Transition — Allan Reine appointed CEO (ex-Spark Therapeutics), Jeff Marrazzo named Executive Chair, focus narrowed to liver diseases and CF, globenewswire.com, May 2025</w:t>
      </w:r>
    </w:p>
    <w:p>
      <w:pPr>
        <w:spacing w:before="20" w:after="20"/>
        <w:ind w:left="170"/>
      </w:pPr>
      <w:r>
        <w:rPr>
          <w:rFonts w:ascii="Calibri" w:hAnsi="Calibri"/>
          <w:b/>
          <w:color w:val="4A6B25"/>
          <w:sz w:val="15"/>
        </w:rPr>
        <w:t xml:space="preserve">3. </w:t>
      </w:r>
      <w:r>
        <w:rPr>
          <w:rFonts w:ascii="Calibri" w:hAnsi="Calibri"/>
          <w:b w:val="0"/>
          <w:color w:val="3A4A28"/>
          <w:sz w:val="17"/>
        </w:rPr>
        <w:t>STAT News — 'CRISPR pioneer Prime Medicine switches CEO and lays off quarter of its staff,' 25% workforce reduction, statnews.com, May 2025</w:t>
      </w:r>
    </w:p>
    <w:p>
      <w:pPr>
        <w:spacing w:before="20" w:after="20"/>
        <w:ind w:left="170"/>
      </w:pPr>
      <w:r>
        <w:rPr>
          <w:rFonts w:ascii="Calibri" w:hAnsi="Calibri"/>
          <w:b/>
          <w:color w:val="4A6B25"/>
          <w:sz w:val="15"/>
        </w:rPr>
        <w:t xml:space="preserve">4. </w:t>
      </w:r>
      <w:r>
        <w:rPr>
          <w:rFonts w:ascii="Calibri" w:hAnsi="Calibri"/>
          <w:b w:val="0"/>
          <w:color w:val="3A4A28"/>
          <w:sz w:val="17"/>
        </w:rPr>
        <w:t>StockAnalysis / Simply Wall St — PRME Statistics: market cap $694M, stock price $3.89, avg volume 4.0M, cash burn analysis, accessed July 2026</w:t>
      </w:r>
    </w:p>
    <w:p>
      <w:pPr>
        <w:spacing w:before="20" w:after="20"/>
        <w:ind w:left="170"/>
      </w:pPr>
      <w:r>
        <w:rPr>
          <w:rFonts w:ascii="Calibri" w:hAnsi="Calibri"/>
          <w:b/>
          <w:color w:val="4A6B25"/>
          <w:sz w:val="15"/>
        </w:rPr>
        <w:t xml:space="preserve">5. </w:t>
      </w:r>
      <w:r>
        <w:rPr>
          <w:rFonts w:ascii="Calibri" w:hAnsi="Calibri"/>
          <w:b w:val="0"/>
          <w:color w:val="3A4A28"/>
          <w:sz w:val="17"/>
        </w:rPr>
        <w:t>Prime Medicine $125M Fundraise Analysis — strategic inflection point for gene editing innovation, ainvest.com,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