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PRTS</w:t>
      </w:r>
      <w:r>
        <w:rPr>
          <w:rFonts w:ascii="Calibri" w:hAnsi="Calibri"/>
          <w:b/>
          <w:color w:val="1A2010"/>
          <w:sz w:val="40"/>
        </w:rPr>
        <w:t xml:space="preserve">  CarParts.com,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2026-10-06 · Inspire: 35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Auto Parts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Online-only retailer of aftermarket collision, engine and performance auto parts and accessories for consumers and professional installers.</w:t>
      </w:r>
    </w:p>
    <w:p>
      <w:r>
        <w:rPr>
          <w:rFonts w:ascii="Calibri" w:hAnsi="Calibri"/>
          <w:b/>
          <w:color w:val="6E8450"/>
          <w:sz w:val="18"/>
        </w:rPr>
        <w:t>https://www.carparts.com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1: online-only model and own-brand parts, but no recent transformative launch. AI 2: third-generation AI search matches VINs to compatibility data at 98% accuracy and an AI shopping assistant has launched [2]. Market share 1: meaningful but shrinking (TTM revenue $515.8M, -10.7%) [1]. Pipeline 0: no named next-gen items. R&amp;D 0: not disclosed.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2: clear online auto-parts access aim, not distinctive. Community, retention and insider buying not evidenced; Glassdoor's 3.9 rating is not scored [2]. Scored 0 on adds.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about 44,452 shares x $8.52 is roughly $0.38M daily, below $1M, so Infrastructure is 0 regardless of metrics (D/E 90%, ROE -46%, margin -5.4%, revenue -10.7%)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Turnaround-stage retailer focusing on profitability over growth; a purpose exists but strategy responds to quarterly results.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Making parts accessible online is service-oriented but shallow and not a distinctive cause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CEO David Meniane has 83% approval on Glassdoor and a people-first reputation, but sentiment is average (3.9/5)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Competitive framing is about share against Amazon and brick-and-mortar chains; no worthy-rival language.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Shift from growth-at-all-costs to profit-focused marketing rationalization is a meaningful but incremental pivot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Cutting marketing spend to reach positive adjusted EBITDA ($585K in Q1 2026) sacrifices revenue, which is a costly but sensible choice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Q1 2026 produced the first positive adjusted EBITDA since Q1 2024 ($585K, a swing of nearly $7M) and Q2 net loss narrowed to $3.2M as marketing spend was rationalized [1]. AI-driven search at 98% fitment accuracy supports conversion.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Revenue is falling 10% (Q2 $135.6M), net margin is -5.4%, ROE is -46%, and the $69M market cap with only 44K shares of daily volume fails the IOWN liquidity floor [1]. Amazon and AI shopping agents pressure a rationalized marketing model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Sustained positive adjusted EBITDA as marketing efficiency improves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Stabilization of revenue after marketing rationalization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 search and assistant lifting conversion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double-digit revenue declines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Negative ROE and GAAP losses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Illiquidity and competition from Amazon and AI shopping agents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E-commerce parts retail is exposed to AI shopping agents and marketplace intermediaries such as Amazon, and the company's own 10-Q lists AI as an operational, competitive and reputational risk [2]. Physical fulfillment and VIN-fitment data provide partial defense. AI tools are internal, with no AI revenue, so tiebreaker is 0.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35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CarParts.com Q2 2026 results, SEC Form 8-K, August 2026; Q1 2026 earnings transcript,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CarParts.com Form 10-Q (July 2026) and Glassdoor reviews,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CarParts.com ESG data listings (CapEdge, Sustainalytics),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via yfinance, PRTS key statistics,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