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PSEC</w:t>
      </w:r>
      <w:r>
        <w:rPr>
          <w:rFonts w:ascii="Calibri" w:hAnsi="Calibri"/>
          <w:b/>
          <w:color w:val="1A2010"/>
          <w:sz w:val="40"/>
        </w:rPr>
        <w:t xml:space="preserve">  Prospect Capital Corporation</w:t>
      </w:r>
    </w:p>
    <w:p>
      <w:pPr>
        <w:spacing w:after="120"/>
      </w:pPr>
      <w:r>
        <w:rPr>
          <w:rFonts w:ascii="Calibri" w:hAnsi="Calibri"/>
          <w:b/>
          <w:color w:val="6E8450"/>
          <w:sz w:val="18"/>
        </w:rPr>
        <w:t>DIVIDEND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Prospect Capital Corporation is a publicly traded business development company (BDC) specializing in middle-market lending, mezzanine finance, and leveraged buyouts. The externally managed fund makes secured and unsecured debt and equity investments in U.S. private businesses across diverse industries, with a portfolio of approximately $6.4 billion across 91+ investments. Founded in 2004 and managed by Prospect Capital Management, which has 145+ investment professionals with 18+ years working together.</w:t>
      </w:r>
    </w:p>
    <w:p>
      <w:r>
        <w:rPr>
          <w:rFonts w:ascii="Calibri" w:hAnsi="Calibri"/>
          <w:b/>
          <w:color w:val="6E8450"/>
          <w:sz w:val="18"/>
        </w:rPr>
        <w:t>3 Employees · https://www.prospectstreet.com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PSEC has not launched new products or business model innovations in the last 5 years; the company operates the same BDC lending model from two decades ago. The stock has declined from ~$6.60 to $2.25 over the past 5 years, reflecting persistent value destruction rather than innovation-driven growth [1]. AI Deployment (0/2): No evidence of AI-powered products, underwriting tools, or measurable AI-driven efficiency gains in portfolio management or operations [2]. Market Share (1/2): PSEC maintains a meaningful $6.4B portfolio across 91+ companies and 32 industries, but trades at a ~63% discount to NAV ($2.25 vs ~$6.05 NAV), the steepest among major BDCs — far behind peers like Ares Capital (ARCC) and Main Street Capital (MAIN) [1][3]. Pipeline (0/2): No next-generation products or strategic initiatives with specific timelines; portfolio composition shift toward first-lien loans (now 71%) is incremental, not innovative [1]. R&amp;D Intensity (1/1): BDC sector does not invest in R&amp;D, but PSEC maintains a 145+ person underwriting team with 18+ years of collective experience, above average for the peer group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Prospect Capital's stated purpose focuses on delivering consistent returns through disciplined middle-market lending — a generic financial services statement interchangeable with any BDC competitor [2]. Community Impact (0/2): The company claims impact investing focused on ESG since 1988, but no evidence of distinctive charitable giving, foundation activity, or community investment programs with quantified dollar amounts was found [2]. Employee Retention (1/2): Glassdoor reviews describe mixed culture — 4.2/5 overall rating with 76% recommending. The 145+ investment professionals with 18+ years working together is genuinely notable team stability, and CEO accessibility is cited positively [2]. However, Bloomberg reported dysfunction with 'insults and indecision' [4]. Insider Buying (1/2): CEO John Barry holds significant insider ownership (~27%), providing meaningful alignment with shareholders, though no specific net open-market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41% is conservative for a BDC (well below 70% target) [6]. Forward P/E of 5.92 is extremely attractive, scoring perfectly [6]. Profit margin of 4.67% (net income $29.8M on $639.5M revenue) provides a modest positive, scoring 0.23 [6]. ROE of 3.37% scores 0.22, well below the 15% target [6]. Revenue of $639.5M TTM declined 11.1% YoY as base rates softened. Revenue 5yr CAGR is approximately -2.5%, reflecting structural revenue contraction. Dividend paid continuously since 2004 (22 years, scoring perfectly with 2x weight), but consecutive years of growth is zero after multiple cuts from $0.06/month to $0.035/month [7]. Payout ratio of 800% (based on net income) is extreme, and 5yr dividend growth CAGR of approximately -15% scores zero [6]. Liquidity floor cleared: 4.2M avg volume x $2.25 = $9.5M.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Prospect Capital exhibits classic finite game behavior — optimizing for current dividend yield to attract retail investors while systematically eroding book value and shareholder equity. The stock has declined from ~$11 to $2.25 since IPO, NAV has eroded from $6.45 to approximately $5.90, and multiple dividend cuts signal a company managing for quarterly distributions rather than long-term value creation [1][4].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PSEC's purpose is generic capital deployment with no articulated vision beyond generating yield for investors. The company's communications focus exclusively on portfolio statistics, NAV, and dividend payments rather than any broader mission or societal contribution [2]. There is no Just Cause that would inspire sacrifice or long-term commitment from stakeholders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Bloomberg reported in 2025 that the firm was 'rocked by insults and indecision,' with internal dysfunction that has damaged relationships with industry counterparties [4]. While Glassdoor overall rating is 4.2/5, specific reviews cite a 'tough culture' with finger-pointing and top-down control. The 145+ professionals with 18+ years together suggests some team stability, but the Bloomberg reporting paints a picture of fear-based management inconsistent with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PSEC acknowledging competitors' strengths or using competitive pressure for self-improvement. The company does not reference peer BDCs like Ares Capital, Blue Owl, or Main Street Capital in its communications, despite these peers significantly outperforming PSEC on total returns, NAV stability, and market valuation over the past decade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PSEC has shown incremental adaptation by shifting portfolio composition toward 71% first-lien senior secured loans (up from lower allocations historically) and reducing non-accrual assets to just 0.7% of total portfolio [1]. The expansion into multi-family real estate represented meaningful diversification. However, these are incremental adjustments within the same BDC model,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John Barry's ~27% insider ownership demonstrates personal conviction and capital at risk. The company has maintained its BDC structure and monthly dividend through multiple credit cycles over 22 years [7]. However, the persistent pattern of paying dividends while NAV erodes — rather than cutting the dividend to sustainable levels — suggests prioritizing short-term retail investor retention over long-term shareholder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Prospect Capital offers a 20.4% forward dividend yield and trades at approximately 63% discount to NAV ($2.25 vs ~$5.90/share), which could represent deep value if portfolio credit quality stabilizes [1][6]. Q4 2026 EPS of $0.15 beat estimates of $0.11, and revenue of $155.8M exceeded the $152.8M consensus [1]. The portfolio is conservatively positioned with 71% first-lien senior secured loans and just 0.7% non-accrual assets [1]. The D/E ratio of 41% is conservative for a BDC, leaving substantial balance sheet capacity for opportunistic deployment. NII coverage of the dividend has improved, with Q2 2026 NII of $0.19/share covering the $0.045/month distribution [1].</w:t>
      </w:r>
    </w:p>
    <w:p>
      <w:pPr>
        <w:spacing w:after="120"/>
      </w:pPr>
      <w:r>
        <w:rPr>
          <w:rFonts w:ascii="Calibri" w:hAnsi="Calibri"/>
          <w:b w:val="0"/>
          <w:color w:val="3A4A28"/>
          <w:sz w:val="20"/>
        </w:rPr>
        <w:t>The bear case is compelling and well-documented. PSEC's NAV has eroded persistently — from $6.45 to approximately $5.90 over the past year, continuing a multi-year pattern of book value destruction [1][3]. The stock has fallen ~65% over the past decade, far underperforming BDC peers like ARCC and MAIN. Revenue declined 11.1% YoY to $639.5M as base rates softened, and the 5yr dividend growth CAGR of -15% (from $0.06 to $0.035/month) signals structural deterioration [6][7]. The 800% payout ratio (based on GAAP net income, not NII) and Altman Z-Score of 0.43 suggest elevated financial risk. Bloomberg reported in 2025 that the firm was 'rocked by insults and indecision,' raising governance concerns about CEO John Barry's management style and external counterparty relationships [4]. The persistent 63% NAV discount reflects justified market skepticism about asset quality and management quality.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2026 earnings beat ($0.15 vs $0.11 estimated EPS) and improving NII coverage at 1.41x dividend could stabilize investor confidence and narrow the NAV discount if sustained [1]</w:t>
      </w:r>
    </w:p>
    <w:p>
      <w:pPr>
        <w:spacing w:before="40" w:after="40"/>
        <w:ind w:left="283"/>
      </w:pPr>
      <w:r>
        <w:rPr>
          <w:rFonts w:ascii="Calibri" w:hAnsi="Calibri"/>
          <w:b/>
          <w:color w:val="4A6B25"/>
          <w:sz w:val="20"/>
        </w:rPr>
        <w:t xml:space="preserve">2. </w:t>
      </w:r>
      <w:r>
        <w:rPr>
          <w:rFonts w:ascii="Calibri" w:hAnsi="Calibri"/>
          <w:b w:val="0"/>
          <w:color w:val="3A4A28"/>
          <w:sz w:val="20"/>
        </w:rPr>
        <w:t>Portfolio credit quality stability — 71% first-lien allocation and 0.7% non-accrual rate provide a solid credit foundation; maintaining these levels through the credit cycle could support NAV floor</w:t>
      </w:r>
    </w:p>
    <w:p>
      <w:pPr>
        <w:spacing w:before="40" w:after="40"/>
        <w:ind w:left="283"/>
      </w:pPr>
      <w:r>
        <w:rPr>
          <w:rFonts w:ascii="Calibri" w:hAnsi="Calibri"/>
          <w:b/>
          <w:color w:val="4A6B25"/>
          <w:sz w:val="20"/>
        </w:rPr>
        <w:t xml:space="preserve">3. </w:t>
      </w:r>
      <w:r>
        <w:rPr>
          <w:rFonts w:ascii="Calibri" w:hAnsi="Calibri"/>
          <w:b w:val="0"/>
          <w:color w:val="3A4A28"/>
          <w:sz w:val="20"/>
        </w:rPr>
        <w:t>Interest rate environment changes could widen net interest margins on the floating-rate loan portfolio, boosting NII above the current $0.19/share quarterly run 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NAV erosion — per-share book value has declined persistently and further portfolio losses could force another dividend cut from the current $0.035/month, triggering retail investor exodus [7]</w:t>
      </w:r>
    </w:p>
    <w:p>
      <w:pPr>
        <w:spacing w:before="40" w:after="40"/>
        <w:ind w:left="283"/>
      </w:pPr>
      <w:r>
        <w:rPr>
          <w:rFonts w:ascii="Calibri" w:hAnsi="Calibri"/>
          <w:b/>
          <w:color w:val="4A6B25"/>
          <w:sz w:val="20"/>
        </w:rPr>
        <w:t xml:space="preserve">2. </w:t>
      </w:r>
      <w:r>
        <w:rPr>
          <w:rFonts w:ascii="Calibri" w:hAnsi="Calibri"/>
          <w:b w:val="0"/>
          <w:color w:val="3A4A28"/>
          <w:sz w:val="20"/>
        </w:rPr>
        <w:t>Credit cycle deterioration in middle-market loans could accelerate portfolio losses and push non-accrual rate above the current 0.7%, validating the market's 63% NAV discount</w:t>
      </w:r>
    </w:p>
    <w:p>
      <w:pPr>
        <w:spacing w:before="40" w:after="40"/>
        <w:ind w:left="283"/>
      </w:pPr>
      <w:r>
        <w:rPr>
          <w:rFonts w:ascii="Calibri" w:hAnsi="Calibri"/>
          <w:b/>
          <w:color w:val="4A6B25"/>
          <w:sz w:val="20"/>
        </w:rPr>
        <w:t xml:space="preserve">3. </w:t>
      </w:r>
      <w:r>
        <w:rPr>
          <w:rFonts w:ascii="Calibri" w:hAnsi="Calibri"/>
          <w:b w:val="0"/>
          <w:color w:val="3A4A28"/>
          <w:sz w:val="20"/>
        </w:rPr>
        <w:t>Bloomberg-reported management dysfunction ('insults and indecision') and high management fees create misaligned incentives between externally managed structure and minority shareholders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PSEC's core business — originating and managing middle-market private credit — involves complex relationship-driven deal sourcing, bespoke underwriting, and workout situations requiring nuanced human judgment that AI cannot easily replicate [2]. The BDC model depends on borrower relationships, legal documentation, and credit decisions in illiquid private markets where AI tools have limited applicability. Analysts have not flagged AI as a displacement risk for private credit. However, AI could improve screening and monitoring efficiency at competitor BDCs, creating a competitive disadvantage if PSEC does not adopt. AI Opportunity (0/1): No evidence of AI-driven revenue generation, AI products, or AI-powered services offered to portfolio companies or investors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Prospect Capital Q4 2026 Earnings Release — $0.15 EPS vs $0.11 estimate, $155.8M revenue, Quiver Quantitative, August 2026</w:t>
      </w:r>
    </w:p>
    <w:p>
      <w:pPr>
        <w:spacing w:before="20" w:after="20"/>
        <w:ind w:left="170"/>
      </w:pPr>
      <w:r>
        <w:rPr>
          <w:rFonts w:ascii="Calibri" w:hAnsi="Calibri"/>
          <w:b/>
          <w:color w:val="4A6B25"/>
          <w:sz w:val="15"/>
        </w:rPr>
        <w:t xml:space="preserve">2. </w:t>
      </w:r>
      <w:r>
        <w:rPr>
          <w:rFonts w:ascii="Calibri" w:hAnsi="Calibri"/>
          <w:b w:val="0"/>
          <w:color w:val="3A4A28"/>
          <w:sz w:val="17"/>
        </w:rPr>
        <w:t>Prospect Capital Management — About Page, Leadership Team, 145+ professionals, prospectcap.com, 2026</w:t>
      </w:r>
    </w:p>
    <w:p>
      <w:pPr>
        <w:spacing w:before="20" w:after="20"/>
        <w:ind w:left="170"/>
      </w:pPr>
      <w:r>
        <w:rPr>
          <w:rFonts w:ascii="Calibri" w:hAnsi="Calibri"/>
          <w:b/>
          <w:color w:val="4A6B25"/>
          <w:sz w:val="15"/>
        </w:rPr>
        <w:t xml:space="preserve">3. </w:t>
      </w:r>
      <w:r>
        <w:rPr>
          <w:rFonts w:ascii="Calibri" w:hAnsi="Calibri"/>
          <w:b w:val="0"/>
          <w:color w:val="3A4A28"/>
          <w:sz w:val="17"/>
        </w:rPr>
        <w:t>Prospect Capital NAV and Peer Comparison — Seeking Alpha, BDCInvestor.com, 2025-2026</w:t>
      </w:r>
    </w:p>
    <w:p>
      <w:pPr>
        <w:spacing w:before="20" w:after="20"/>
        <w:ind w:left="170"/>
      </w:pPr>
      <w:r>
        <w:rPr>
          <w:rFonts w:ascii="Calibri" w:hAnsi="Calibri"/>
          <w:b/>
          <w:color w:val="4A6B25"/>
          <w:sz w:val="15"/>
        </w:rPr>
        <w:t xml:space="preserve">4. </w:t>
      </w:r>
      <w:r>
        <w:rPr>
          <w:rFonts w:ascii="Calibri" w:hAnsi="Calibri"/>
          <w:b w:val="0"/>
          <w:color w:val="3A4A28"/>
          <w:sz w:val="17"/>
        </w:rPr>
        <w:t>Bloomberg — 'Private Credit Firm Prospect Capital Rocked by Insults and Indecision', March 2025</w:t>
      </w:r>
    </w:p>
    <w:p>
      <w:pPr>
        <w:spacing w:before="20" w:after="20"/>
        <w:ind w:left="170"/>
      </w:pPr>
      <w:r>
        <w:rPr>
          <w:rFonts w:ascii="Calibri" w:hAnsi="Calibri"/>
          <w:b/>
          <w:color w:val="4A6B25"/>
          <w:sz w:val="15"/>
        </w:rPr>
        <w:t xml:space="preserve">5. </w:t>
      </w:r>
      <w:r>
        <w:rPr>
          <w:rFonts w:ascii="Calibri" w:hAnsi="Calibri"/>
          <w:b w:val="0"/>
          <w:color w:val="3A4A28"/>
          <w:sz w:val="17"/>
        </w:rPr>
        <w:t>Prospect Capital Q2 2026 Earnings — $0.19 EPS vs $0.10 estimate, $176M revenue, Quiver Quantitative,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PSEC Key Statistics and Financial Data,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Prospect Capital Dividend History and Distributions — Globe and Mail, stockanalysis.com,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