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PSN</w:t>
      </w:r>
      <w:r>
        <w:rPr>
          <w:rFonts w:ascii="Calibri" w:hAnsi="Calibri"/>
          <w:b/>
          <w:color w:val="1A2010"/>
          <w:sz w:val="40"/>
        </w:rPr>
        <w:t xml:space="preserve">  Parsons Corporation</w:t>
      </w:r>
    </w:p>
    <w:p>
      <w:pPr>
        <w:spacing w:after="120"/>
      </w:pPr>
      <w:r>
        <w:rPr>
          <w:rFonts w:ascii="Calibri" w:hAnsi="Calibri"/>
          <w:b/>
          <w:color w:val="6E8450"/>
          <w:sz w:val="18"/>
        </w:rPr>
        <w:t>GROWTH SLEEVE · 2026-09-25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Parsons Corporation provides technology-driven defense, intelligence, and critical infrastructure solutions for the US federal government and allied nations worldwide. It operates through Federal Solutions (cyber, missile defense, intelligence, space, electronic warfare) and Critical Infrastructure (transportation, environmental, digital engineering) segments. Founded in 1944 and headquartered in Chantilly, Virginia, Parsons has evolved from a traditional engineering firm into a tech-enabled defense contractor with embedded AI capabilities. CEO Carey Smith has led since 2021. Q2 2026 revenue was $1.6B (-1% YoY, +8% ex-confidential contracts), with record $9.3B backlog (71% funded) and $1.9B in new bookings (+24% YoY). Full-year 2026 revenue guidance is $6.2-$6.5B with adjusted EBITDA of $500-$560M.</w:t>
      </w:r>
    </w:p>
    <w:p>
      <w:r>
        <w:rPr>
          <w:rFonts w:ascii="Calibri" w:hAnsi="Calibri"/>
          <w:b/>
          <w:color w:val="6E8450"/>
          <w:sz w:val="18"/>
        </w:rPr>
        <w:t>21,000 Employees · https://www.parsons.com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Parsons has executed a significant transformation from a traditional engineering/construction firm to a technology-enabled defense and infrastructure company through strategic acquisitions and organic investment in AI, cyber, and space capabilities. Eight of its last ten $100M+ contract wins included a critical AI differentiator, demonstrating that technology investments are translating to competitive wins [3]. The company has also expanded into classified programs, electronic warfare, and cislunar space operations. AI Deployment (2/2): Parsons' embedded AI strategy is integrated directly into customer solutions and is a core competitive differentiator — not just internal efficiency gains [3]. The company deploys AI across mission-critical defense applications including intelligence analysis, cyber operations, and infrastructure monitoring. Specific revenue impact: AI-enabled wins represent the majority of large contract awards. Market Share (1/2): Parsons is a meaningful player in defense IT services, critical infrastructure, and cyber but is not the dominant leader in any single category. It competes against larger primes (Leidos, SAIC, Booz Allen) for federal IT contracts. Product Pipeline (1/2): The expanding AI capabilities suite, space ground systems, and ParsonsX digital transformation platform represent a clear technology pipeline, though specific launch dates and revenue projections are limited by classified program restrictions [3]. R&amp;D Intensity (1/1): Parsons invests above the defense IT services industry average in R&amp;D and technology development, reflected in its AI-first strategy and ParsonsX platform.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Parsons' purpose — 'Delivering a better world' through engineering and technology solutions for national security and critical infrastructure — is specific, thoughtful, and connects the company's work to a larger purpose of protecting people and building resilient communities [4]. It clearly differentiates from pure defense contractors by emphasizing the dual mission of national security and civilian infrastructure. CEO Carey Smith regularly references this purpose in strategic decisions. Community Impact (1/2): Parsons launched its CARE (Cultivating a Responsible Enterprise) strategy with a 20% GHG reduction target by 2025, net-zero commitment aligned with science-based targets, and diversity programs [4]. Named one of the World's Most Ethical Companies. However, specific charitable dollar amounts were not identified. Employee Retention (2/2): Parsons was ranked #27 on Glassdoor's Best-Led Companies list — the highest-ranked national security company. Employee reviews describe leadership as 'inviting, learning-led, and balanced,' and the company provides LinkedIn Learning licenses company-wide with cohort-based leadership development programs [4]. This is strong evidence of above-average retention and employee engagement. Insider Buying (0/2): No evidence of meaningful net insider buying by CEO Carey Smith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Parsons demonstrates excellent balance sheet discipline with D/E of 59.9%, well below the 70% target (scoring 1.0) [5]. The stock's sharp decline from $89.50 to $42.44 (-53% from 52-week high) creates a very attractive Forward P/E of 12.4x, far below the 20x target (scoring 1.0) [5]. The 5yr revenue CAGR of approximately 12% (from ~$3.6B in 2021 to ~$6.35B in 2026 guidance midpoint), driven by both organic growth and strategic acquisitions, scores maximum with 2x weight [1]. However, reported revenue growth YoY of -0.5% reflects timing delays, portfolio divestitures, and confidential contract exclusions — normalizing for these factors, Q2 growth was +8% total [1]. The key weakness is the thin profit margin of 2.5%, typical of government services contractors but scoring only 0.13 against the 20% target. ROE of 8.2% is also below the 15% target (scoring 0.55 with 2x weight). Estimated forward PEG of approximately 1.0 (forward PE 12.4 / ~12% growth) scores maximum with 2x weight. Liquidity is ample at $58.9M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Parsons Corporation shows strong infinite game characteristics for a defense contractor — a genuine cause connecting national security to a better world, exceptional employee culture (Glassdoor #27 Best-Led), and willingness to evolve from traditional engineering to technology-enabled solutions. The company's 80-year history demonstrates endurance, and the current leadership under Carey Smith has invested in both people and technology. The revenue guidance reduction of $300M and stock decline of 53% from highs test whether the company maintains its long-term focus under financial pressure, but the $9.3B backlog and 1.1x TTM book-to-bill suggest the business remains fundamentally sound.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'Delivering a better world' through national security and critical infrastructure is a genuine cause that connects Parsons' work to something larger than profit — protecting communities, defending nations, and building resilient infrastructure [4]. CEO Carey Smith regularly references this purpose, and strategic decisions (investments in AI for defense, infrastructure modernization) trace back to it. The cause has been consistent since the company's founding in 1944. However, it has not been tested through the kind of existential crisis that separates a strong cause from a Just Cause that defines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Parsons earned the #27 ranking on Glassdoor's Best-Led Companies list — the only national security company in its peer group to make the list [4]. Employee reviews describe leadership as 'inviting, learning-led, and balanced.' The company provides LinkedIn Learning licenses company-wide, facilitates live professional development courses, and runs cohort-based leadership development programs for managers and executives. The 21,000-person workforce demonstrates strong organizational culture in a sector where talent retention is a critical competitive advantage.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Parsons positions itself relative to larger defense primes (Leidos, SAIC, Booz Allen) not as a competitor to crush but as a differentiated technology leader. The company's competitive language emphasizes its AI capabilities and engineering expertise as differentiators rather than framing competition as a zero-sum market share battle [3]. Management acknowledges that competitors' scale is an advantage and focuses on winning through technology differentiation — a self-improvement-oriented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Parsons has meaningfully evolved its business model over the past decade from a traditional engineering and construction company to a technology-enabled defense and infrastructure solutions provider. The creation of ParsonsX as a digital transformation organization and the strategic pivot toward AI, cyber, and space represent significant business model evolution [3]. However, these changes were incremental and market-driven rather than a transformative bet that redefined the company — the core identity of engineering for government customers remains intact.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Carey Smith has invested heavily in AI and technology capabilities even as the stock declined 53% from its 52-week high, maintaining the $500-$560M adjusted EBITDA guidance range and prioritizing long-term capability over short-term cost cuts [1]. The company divested non-core business lines to focus on higher-margin technology work. However, the revenue guidance reduction of $300M at the midpoint — driven by divestitures, timing delays, and a JV charge — suggests pragmatic adjustments rather than the bold, costly long-term bets that define a 2/2 courage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Parsons Corporation at 12.4x forward earnings represents a compelling value entry point for a technology-enabled defense contractor with embedded AI capabilities and a record $9.3B backlog (71% funded) [1]. The stock has declined 53% from its 52-week high of $89.50 to $42.44, creating a valuation disconnect between the market price and the underlying business quality. Q2 2026 bookings of $1.9B grew 24% YoY with a 1.2x quarterly book-to-bill ratio, and 8 of the last 10 $100M+ wins included AI differentiators [3]. The 5yr revenue CAGR of ~12% demonstrates sustained growth, the D/E of 59.9% provides balance sheet safety, and the Glassdoor #27 Best-Led ranking signals organizational health [4]. Adjusted EBITDA margins expanded to a record 10.1% in both Q1 and Q2 2026, demonstrating improving profitability despite revenue headwinds [2]. An additional $11 billion in contract awards have not yet been booked into backlog, providing multi-year revenue visibility.</w:t>
      </w:r>
    </w:p>
    <w:p>
      <w:pPr>
        <w:spacing w:after="120"/>
      </w:pPr>
      <w:r>
        <w:rPr>
          <w:rFonts w:ascii="Calibri" w:hAnsi="Calibri"/>
          <w:b w:val="0"/>
          <w:color w:val="3A4A28"/>
          <w:sz w:val="20"/>
        </w:rPr>
        <w:t>The bear case centers on topline pressure, margin fragility, and the gap between strong bookings and reported revenue. Revenue declined 0.5% YoY in Q2 and fell 4% in Q1, with organic revenue down 5-8% when normalizing for confidential contracts [1][2]. The $300M revenue guidance reduction (to $6.2-6.5B midpoint) reflects portfolio divestitures, timing delays, and a one-time JV charge — raising questions about the conversion rate from the $9.3B backlog to recognized revenue. Profit margin of 2.5% is thin even by government services standards, and ROE of 8.2% is well below the 15% target, limiting return on capital [5]. The trailing P/E of 29.3x suggests that trailing earnings are depressed relative to forward expectations (forward EPS of $3.42 vs trailing $1.45), creating risk if the EPS recovery does not materialize. Defense budget uncertainty and potential DOGE-driven government efficiency cuts could pressure contract volumes.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$11 billion in contract awards not yet booked into backlog represents massive future revenue visibility, with conversion into the $9.3B formal backlog expected to drive revenue acceleration in H2 2026 and into 2027 [1]</w:t>
      </w:r>
    </w:p>
    <w:p>
      <w:pPr>
        <w:spacing w:before="40" w:after="40"/>
        <w:ind w:left="283"/>
      </w:pPr>
      <w:r>
        <w:rPr>
          <w:rFonts w:ascii="Calibri" w:hAnsi="Calibri"/>
          <w:b/>
          <w:color w:val="4A6B25"/>
          <w:sz w:val="20"/>
        </w:rPr>
        <w:t xml:space="preserve">2. </w:t>
      </w:r>
      <w:r>
        <w:rPr>
          <w:rFonts w:ascii="Calibri" w:hAnsi="Calibri"/>
          <w:b w:val="0"/>
          <w:color w:val="3A4A28"/>
          <w:sz w:val="20"/>
        </w:rPr>
        <w:t>Record adjusted EBITDA margins of 10.1% in both Q1 and Q2 2026 demonstrate successful margin expansion through mix shift toward higher-value technology work, with potential to reach the low-to-mid teens as AI-embedded contracts scale [2]</w:t>
      </w:r>
    </w:p>
    <w:p>
      <w:pPr>
        <w:spacing w:before="40" w:after="40"/>
        <w:ind w:left="283"/>
      </w:pPr>
      <w:r>
        <w:rPr>
          <w:rFonts w:ascii="Calibri" w:hAnsi="Calibri"/>
          <w:b/>
          <w:color w:val="4A6B25"/>
          <w:sz w:val="20"/>
        </w:rPr>
        <w:t xml:space="preserve">3. </w:t>
      </w:r>
      <w:r>
        <w:rPr>
          <w:rFonts w:ascii="Calibri" w:hAnsi="Calibri"/>
          <w:b w:val="0"/>
          <w:color w:val="3A4A28"/>
          <w:sz w:val="20"/>
        </w:rPr>
        <w:t>The 53% stock decline from the $89.50 52-week high has created a deep value entry point at 12.4x forward earnings for a company with a record backlog, embedded AI competitive advantages, and a Glassdoor Best-Led culture ranking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conversion risk: despite $9.3B backlog and $11B in unbooked awards, reported revenue has declined 0.5-4% YoY due to timing delays, confidential contract exclusions, and divestitures — if booking-to-revenue conversion remains slow, the valuation thesis breaks [1]</w:t>
      </w:r>
    </w:p>
    <w:p>
      <w:pPr>
        <w:spacing w:before="40" w:after="40"/>
        <w:ind w:left="283"/>
      </w:pPr>
      <w:r>
        <w:rPr>
          <w:rFonts w:ascii="Calibri" w:hAnsi="Calibri"/>
          <w:b/>
          <w:color w:val="4A6B25"/>
          <w:sz w:val="20"/>
        </w:rPr>
        <w:t xml:space="preserve">2. </w:t>
      </w:r>
      <w:r>
        <w:rPr>
          <w:rFonts w:ascii="Calibri" w:hAnsi="Calibri"/>
          <w:b w:val="0"/>
          <w:color w:val="3A4A28"/>
          <w:sz w:val="20"/>
        </w:rPr>
        <w:t>Defense budget and DOGE headwinds: potential government efficiency initiatives and budget negotiations could pressure contract award rates and create uncertainty around federal IT and defense spending priorities through 2027-2028</w:t>
      </w:r>
    </w:p>
    <w:p>
      <w:pPr>
        <w:spacing w:before="40" w:after="40"/>
        <w:ind w:left="283"/>
      </w:pPr>
      <w:r>
        <w:rPr>
          <w:rFonts w:ascii="Calibri" w:hAnsi="Calibri"/>
          <w:b/>
          <w:color w:val="4A6B25"/>
          <w:sz w:val="20"/>
        </w:rPr>
        <w:t xml:space="preserve">3. </w:t>
      </w:r>
      <w:r>
        <w:rPr>
          <w:rFonts w:ascii="Calibri" w:hAnsi="Calibri"/>
          <w:b w:val="0"/>
          <w:color w:val="3A4A28"/>
          <w:sz w:val="20"/>
        </w:rPr>
        <w:t>Thin profit margins of 2.5% leave minimal room for execution missteps, and the trailing P/E of 29.3x (vs 12.4x forward) implies that the market is pricing in a near-doubling of EPS that must materialize to justify the current stock price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Parsons' core business involves classified defense programs, physical infrastructure engineering, and cybersecurity operations that AI cannot replace — security clearances, physical construction, and classified systems create structural moats against AI disruption [3]. The company's work on missile defense, electronic warfare, space ground systems, and environmental remediation requires hands-on engineering expertise and security-cleared personnel that AI tools cannot substitute. More importantly, Parsons IS building AI: the company is an AI-enabled defense contractor whose competitive advantage increases as AI adoption grows across the defense and infrastructure sectors. Analysts see zero substitution risk; AI is purely an enabler for Parsons' mission. The only exposure is that AI could improve efficiency of some routine IT services work, potentially reducing billable hours. AI Opportunity (1/1): Parsons generates meaningful AI-embedded revenue — 8 of its last 10 $100M+ wins included a critical AI differentiator, and the company's AI suite spans intelligence analysis, cyber operations, and infrastructure monitoring [3]. While AI revenue is not separately reported, it is clearly a primary driver of new contract wins.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Parsons Corporation Q2 2026 Earnings Release — Revenue $1.6B (-1% YoY), Bookings $1.9B (+24% YoY), Backlog $9.3B (71% funded), TTM Book-to-Bill 1.1x, FY2026 Guidance $6.2-6.5B Revenue, July 2026</w:t>
      </w:r>
    </w:p>
    <w:p>
      <w:pPr>
        <w:spacing w:before="20" w:after="20"/>
        <w:ind w:left="170"/>
      </w:pPr>
      <w:r>
        <w:rPr>
          <w:rFonts w:ascii="Calibri" w:hAnsi="Calibri"/>
          <w:b/>
          <w:color w:val="4A6B25"/>
          <w:sz w:val="15"/>
        </w:rPr>
        <w:t xml:space="preserve">2. </w:t>
      </w:r>
      <w:r>
        <w:rPr>
          <w:rFonts w:ascii="Calibri" w:hAnsi="Calibri"/>
          <w:b w:val="0"/>
          <w:color w:val="3A4A28"/>
          <w:sz w:val="17"/>
        </w:rPr>
        <w:t>Parsons Corporation Q1 2026 Results — Revenue $1.5B (-4% YoY, -8% organic), Record Adjusted EBITDA Margin 10.1%, May 2026</w:t>
      </w:r>
    </w:p>
    <w:p>
      <w:pPr>
        <w:spacing w:before="20" w:after="20"/>
        <w:ind w:left="170"/>
      </w:pPr>
      <w:r>
        <w:rPr>
          <w:rFonts w:ascii="Calibri" w:hAnsi="Calibri"/>
          <w:b/>
          <w:color w:val="4A6B25"/>
          <w:sz w:val="15"/>
        </w:rPr>
        <w:t xml:space="preserve">3. </w:t>
      </w:r>
      <w:r>
        <w:rPr>
          <w:rFonts w:ascii="Calibri" w:hAnsi="Calibri"/>
          <w:b w:val="0"/>
          <w:color w:val="3A4A28"/>
          <w:sz w:val="17"/>
        </w:rPr>
        <w:t>Parsons AI Strategy — 8 of 10 $100M+ Wins Include AI Differentiator, Embedded AI Across Federal Solutions and Critical Infrastructure, ParsonsX Digital Platform, June 2026</w:t>
      </w:r>
    </w:p>
    <w:p>
      <w:pPr>
        <w:spacing w:before="20" w:after="20"/>
        <w:ind w:left="170"/>
      </w:pPr>
      <w:r>
        <w:rPr>
          <w:rFonts w:ascii="Calibri" w:hAnsi="Calibri"/>
          <w:b/>
          <w:color w:val="4A6B25"/>
          <w:sz w:val="15"/>
        </w:rPr>
        <w:t xml:space="preserve">4. </w:t>
      </w:r>
      <w:r>
        <w:rPr>
          <w:rFonts w:ascii="Calibri" w:hAnsi="Calibri"/>
          <w:b w:val="0"/>
          <w:color w:val="3A4A28"/>
          <w:sz w:val="17"/>
        </w:rPr>
        <w:t>Parsons Culture and ESG — Glassdoor #27 Best-Led Companies, CARE Strategy Net-Zero Commitment, LinkedIn Learning Company-Wide, World's Most Ethical Companies,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PSN Key Statistics: Forward P/E 12.4x, Trailing P/E 29.3x, D/E 59.9%, ROE 8.2%, Profit Margin 2.5%, Stock Price $42.44 (52-wk High $89.50),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