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PSX</w:t>
      </w:r>
      <w:r>
        <w:rPr>
          <w:rFonts w:ascii="Calibri" w:hAnsi="Calibri"/>
          <w:b/>
          <w:color w:val="1A2010"/>
          <w:sz w:val="40"/>
        </w:rPr>
        <w:t xml:space="preserve">  Phillips 66</w:t>
      </w:r>
    </w:p>
    <w:p>
      <w:pPr>
        <w:spacing w:after="120"/>
      </w:pPr>
      <w:r>
        <w:rPr>
          <w:rFonts w:ascii="Calibri" w:hAnsi="Calibri"/>
          <w:b/>
          <w:color w:val="6E8450"/>
          <w:sz w:val="18"/>
        </w:rPr>
        <w:t>DIVIDEND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Refining &amp; Marketing · NYSE · United States</w:t>
      </w:r>
    </w:p>
    <w:p>
      <w:pPr>
        <w:spacing w:after="80"/>
      </w:pPr>
      <w:r>
        <w:rPr>
          <w:rFonts w:ascii="Calibri" w:hAnsi="Calibri"/>
          <w:b w:val="0"/>
          <w:color w:val="3A4A28"/>
          <w:sz w:val="20"/>
        </w:rPr>
        <w:t>Phillips 66 operates as an integrated downstream energy provider through Midstream, Chemicals, Refining, Marketing and Specialties, and Renewable Fuels segments. The company processes crude oil with 1.8M BPD refining capacity, operates extensive pipeline networks, and manufactures chemicals through its CPChem joint venture with Chevron. FY2025 earnings were $4.4B ($10.79 EPS), followed by a massive Q2 2026 recovery with $3.8B net income ($9.55 EPS, up 339% YoY) driven by surging refining margins and strong midstream performance. TTM revenue is $152.2B with $7.1B in net income. The company completed $3.5B in portfolio-enhancing dispositions and acquisitions in 2025.</w:t>
      </w:r>
    </w:p>
    <w:p>
      <w:r>
        <w:rPr>
          <w:rFonts w:ascii="Calibri" w:hAnsi="Calibri"/>
          <w:b/>
          <w:color w:val="6E8450"/>
          <w:sz w:val="18"/>
        </w:rPr>
        <w:t>12,600 Employees · https://www.phillips66.com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Phillips 66 completed the Rodeo Renewed facility conversion from petroleum refining to renewable fuels, representing a meaningful pivot toward lower-carbon products, plus $3.5B in portfolio-enhancing asset transactions in 2025 [1]. However, the company remains fundamentally a refining and midstream operator with no business model transformation. AI Deployment (0/2): Phillips 66 uses AI internally in learning and development functions (fourfold quicker output, ~$1M savings), but no AI products are shipping to external customers or generating quantifiable AI revenue [3]. Market Share (2/2): One of the largest US independent refiners with 1.8M BPD capacity operating at 95%+ utilization rates. CPChem (50/50 JV with Chevron) is a top-tier petrochemical producer. Extensive midstream pipeline network provides critical energy infrastructure [1][2]. Product Pipeline (1/2): Midstream growth projects and Rodeo Renewed expansion provide some pipeline visibility, though no specific next-generation products with launch dates have been announced. R&amp;D Intensity (0/1): Energy refining industry has minimal R&amp;D intensity relative to technology sectors.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Phillips 66's stated purpose of providing energy products safely, reliably, and responsibly is generic — interchangeable with any energy company. The website emphasizes operational excellence and safety but articulates no distinctive vision beyond efficient energy processing [3]. Community Impact (1/2): Phillips 66 operates community investment programs in its operating communities and maintains a corporate giving program, standard for a Fortune 50 energy company. No specific foundation dollar amounts or distinctive charitable initiatives identified beyond standard corporate philanthropy [4]. Employee Retention (1/2): CEO Mark Lashier has led since 2022 (following activist pressure from Elliott Management). The company employs 12,600 people with stable operations, and the leadership philosophy emphasizes innovation, accountability, and continuous improvement. Phillips 66 has invested in leadership development, touching 90% of leaders in 18 months [3]. Insider Buying (1/2): Elliott Management's activist campaign and management's aggressive $1.2B share repurchase program in 2025 signal institutional confidence in the strategic direction, though these are corporate programs rather than personal conviction buys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Q2 2026 delivered a dramatic earnings recovery with $3.8B net income ($9.55 EPS, up 339% YoY) driven by surging refining margins and strong midstream/chemical performance [2]. D/E of 63% is below the 70% target, scoring maximum — improved from 91.4% in the prior screen as earnings rebuilt the equity base [5]. ROE of 23.45% exceeds the 15% target, scoring maximum. Forward P/E of 8.58 is extremely attractive, well below the 20 target [5]. Revenue growth of approximately 6% TTM approaches the 10% target (0.87). The structural drag is profit margin of 4.66% — characteristic of high-throughput refining where $152B in revenue generates $7.1B in profit [5]. Dividend history is solid: 13 consecutive years of payments and growth since the 2012 ConocoPhillips spin-off, with payout ratio improved to ~29% on TTM earnings and 5-year dividend growth CAGR of ~7%. Calculation: D/E 1.0(1x) + ROE 1.0(1x) + RevGr 0.87(1x) + RevGr5yr 0.87(1x) + FwdPE 1.0(1x) + PM 0.23(1x) + PayRatio 1.0(1x) + YrsPaid 1.0(2x) + YrsGrowth 1.0(1x) + DivGr 1.0(2x) = 10.97/12 → 9. Liquidity: ~$588M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Phillips 66 operates with a mixed finite/infinite mindset. The Rodeo Renewed renewable fuels conversion shows forward thinking beyond fossil fuels, and the 13-year dividend growth streak since spin-off demonstrates financial discipline. However, the company's strategic direction has been heavily influenced by Elliott Management's activist campaign, and CEO Lashier's appointment was a response to external pressure rather than organic succession. The focus on $1.2B in share buybacks and aggressive capital returns suggests primarily finite game optimization for shareholder value rather than a transcendent purpose. Sinek would note the absence of a compelling Just Cause beyond operational efficiency.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Phillips 66's purpose of providing energy products responsibly is generic and has not demonstrably driven transformative strategic decisions [3]. The activist-influenced management change in 2022 and subsequent focus on buybacks and portfolio optimization suggest the company is optimizing for shareholder returns rather than advancing a broader purpose. The Rodeo Renewed conversion adds an environmental dimension, but it was partly driven by California regulatory requirements rather than an internally generated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Mark Lashier has stabilized operations since 2022, maintaining 12,600 employees across refining, midstream, and chemical operations with 95%+ refinery utilization rates demonstrating disciplined execution [1]. Phillips 66 has invested in leadership development, touching 90% of leaders in 18 months with change champion programs [3]. However, the CEO transition was driven by activist pressure, and no specific employee retention or engagement data distinguishes the culture from energy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Phillips 66's competitive positioning is framed in terms of cost optimization and operational efficiency versus peers (Valero, Marathon Petroleum), with competitive language focused on market positioning and utilization rates rather than learning from rivals' strengths. No evidence of management commentary acknowledging competitors' capabilities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Rodeo Renewed conversion from petroleum refining to renewable fuels demonstrates willingness to evolve the refining model toward lower-carbon products, even if partly driven by regulatory requirements [1]. The $3.5B in portfolio-enhancing asset transactions in 2025 shows strategic adaptability. However, these are incremental adjustments within the downstream energy model, not transformative business reinventions — Phillips 66 remains fundamentally a refiner and midstream operator.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management change under Elliott Management's activist pressure and subsequent focus on capital returns suggest the company is following external direction rather than leading with conviction [1]. No evidence of Phillips 66 making costly decisions that sacrificed near-term results for long-term capability building or principled strategic choices. The $1.2B buyback program and dividend increases are standard capital return actions, not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Phillips 66 delivered a massive Q2 2026 recovery with $3.8B net income ($9.55 EPS, up 339% YoY), demonstrating the operating leverage inherent in refining when margins normalize [2]. At 8.58x forward earnings with TTM revenue of $152.2B and ROE of 23.45%, the stock offers deep value for a diversified downstream energy platform [5]. The earnings mix provides stability — Midstream contributed $591M in Q1 2026 segment earnings, providing a growing, less volatile base alongside cyclical Refining. D/E has improved to 63% from 91.4%, and the 2.25% dividend yield backed by 13 consecutive years of growth and a comfortable 29% payout ratio on current earnings provides income with room for continued raises. The Rodeo Renewed facility positions Phillips 66 for energy transition opportunities while the CPChem chemical JV with Chevron adds further diversification.</w:t>
      </w:r>
    </w:p>
    <w:p>
      <w:pPr>
        <w:spacing w:after="120"/>
      </w:pPr>
      <w:r>
        <w:rPr>
          <w:rFonts w:ascii="Calibri" w:hAnsi="Calibri"/>
          <w:b w:val="0"/>
          <w:color w:val="3A4A28"/>
          <w:sz w:val="20"/>
        </w:rPr>
        <w:t>The bear case is earnings cyclicality — Q1 2026 EPS of just $0.51 versus Q2's $9.55 illustrates the extreme volatility in refining margins that makes Phillips 66 inherently unpredictable on a quarterly basis [1][2]. The massive 339% Q2 YoY earnings spike reflects a cyclical rebound, not structural improvement, and refining margins could compress again as rapidly as they expanded. Profit margin of 4.66% is structurally thin for a company processing $152B in crude throughput, providing minimal cushion in downturns. The activist-driven strategic direction under Elliott Management raises questions about long-term strategic consistency versus short-term capital return optimization. Greenwashing lawsuits and climate-related litigation represent emerging legal risks for energy companies, including Phillips 66 [4]. The Inspire Impact Score of -49 (MISALIGNED) due to LGBT Activism may limit faith-based allocation. Revenue growth of ~6% is modest, and the forward PE of 8.58 reflects the market's skepticism about earnings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Refining margin recovery driving dramatic earnings improvement — Q2 2026 net income of $3.8B (339% YoY increase) demonstrates the operating leverage potential when crack spreads normalize, with forward PE of 8.58 suggesting further upside if margins sustain [2]</w:t>
      </w:r>
    </w:p>
    <w:p>
      <w:pPr>
        <w:spacing w:before="40" w:after="40"/>
        <w:ind w:left="283"/>
      </w:pPr>
      <w:r>
        <w:rPr>
          <w:rFonts w:ascii="Calibri" w:hAnsi="Calibri"/>
          <w:b/>
          <w:color w:val="4A6B25"/>
          <w:sz w:val="20"/>
        </w:rPr>
        <w:t xml:space="preserve">2. </w:t>
      </w:r>
      <w:r>
        <w:rPr>
          <w:rFonts w:ascii="Calibri" w:hAnsi="Calibri"/>
          <w:b w:val="0"/>
          <w:color w:val="3A4A28"/>
          <w:sz w:val="20"/>
        </w:rPr>
        <w:t>Midstream earnings stability and growth projects providing a growing, less volatile earnings base ($591M Q1 2026 segment earnings) that reduces dependence on cyclical refining margins [1]</w:t>
      </w:r>
    </w:p>
    <w:p>
      <w:pPr>
        <w:spacing w:before="40" w:after="40"/>
        <w:ind w:left="283"/>
      </w:pPr>
      <w:r>
        <w:rPr>
          <w:rFonts w:ascii="Calibri" w:hAnsi="Calibri"/>
          <w:b/>
          <w:color w:val="4A6B25"/>
          <w:sz w:val="20"/>
        </w:rPr>
        <w:t xml:space="preserve">3. </w:t>
      </w:r>
      <w:r>
        <w:rPr>
          <w:rFonts w:ascii="Calibri" w:hAnsi="Calibri"/>
          <w:b w:val="0"/>
          <w:color w:val="3A4A28"/>
          <w:sz w:val="20"/>
        </w:rPr>
        <w:t>Improved capital structure with D/E down to 63% from 91.4%, combined with 13 consecutive years of dividend growth and a 29% payout ratio providing substantial capacity for continued shareholder returns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earnings cyclicality — Q1 2026 EPS of $0.51 versus Q2's $9.55 illustrates that refining margins can collapse rapidly, making current valuations potentially misleading if crack spreads compress [1][2]</w:t>
      </w:r>
    </w:p>
    <w:p>
      <w:pPr>
        <w:spacing w:before="40" w:after="40"/>
        <w:ind w:left="283"/>
      </w:pPr>
      <w:r>
        <w:rPr>
          <w:rFonts w:ascii="Calibri" w:hAnsi="Calibri"/>
          <w:b/>
          <w:color w:val="4A6B25"/>
          <w:sz w:val="20"/>
        </w:rPr>
        <w:t xml:space="preserve">2. </w:t>
      </w:r>
      <w:r>
        <w:rPr>
          <w:rFonts w:ascii="Calibri" w:hAnsi="Calibri"/>
          <w:b w:val="0"/>
          <w:color w:val="3A4A28"/>
          <w:sz w:val="20"/>
        </w:rPr>
        <w:t>Structurally thin profit margin of 4.66% on $152B revenue provides minimal cushion in downturns and limits the company's ability to sustain dividends and buybacks through extended margin troughs [5]</w:t>
      </w:r>
    </w:p>
    <w:p>
      <w:pPr>
        <w:spacing w:before="40" w:after="40"/>
        <w:ind w:left="283"/>
      </w:pPr>
      <w:r>
        <w:rPr>
          <w:rFonts w:ascii="Calibri" w:hAnsi="Calibri"/>
          <w:b/>
          <w:color w:val="4A6B25"/>
          <w:sz w:val="20"/>
        </w:rPr>
        <w:t xml:space="preserve">3. </w:t>
      </w:r>
      <w:r>
        <w:rPr>
          <w:rFonts w:ascii="Calibri" w:hAnsi="Calibri"/>
          <w:b w:val="0"/>
          <w:color w:val="3A4A28"/>
          <w:sz w:val="20"/>
        </w:rPr>
        <w:t>Climate-related litigation and greenwashing lawsuits represent emerging legal risk — Phillips 66 faces allegations that public statements on climate and ESG matters are misleading, with uncertain but potentially material liability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Phillips 66's core business is structurally immune to AI disruption — crude oil refining, pipeline operations, and chemical manufacturing are physical-world industrial processes requiring massive capital infrastructure ($20B+ in property), specialized equipment, environmental permits, and trained operators [1]. AI cannot refine crude oil, transport hydrocarbons through pipelines, or operate chemical reactors. These operations require physical-world expertise that no software can replicate. AI data center growth is increasing electricity demand, which may benefit downstream energy providers through higher refined product consumption. Regulatory requirements (EPA, DOT, OSHA) create additional barriers that AI cannot bypass. AI Opportunity (0/1): Phillips 66 uses AI for internal efficiency (learning/development, operational analytics) but does not generate meaningful external AI revenue. The ~$1M in AI-driven learning savings is negligible relative to $152B in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Phillips 66 Q1 2026 Earnings — Expanded Capacity, $207M Net Income, $591M Midstream Segment Earnings, 95% Refinery Utilization — Phillips 66 Investor Relations, April 2026</w:t>
      </w:r>
    </w:p>
    <w:p>
      <w:pPr>
        <w:spacing w:before="20" w:after="20"/>
        <w:ind w:left="170"/>
      </w:pPr>
      <w:r>
        <w:rPr>
          <w:rFonts w:ascii="Calibri" w:hAnsi="Calibri"/>
          <w:b/>
          <w:color w:val="4A6B25"/>
          <w:sz w:val="15"/>
        </w:rPr>
        <w:t xml:space="preserve">2. </w:t>
      </w:r>
      <w:r>
        <w:rPr>
          <w:rFonts w:ascii="Calibri" w:hAnsi="Calibri"/>
          <w:b w:val="0"/>
          <w:color w:val="3A4A28"/>
          <w:sz w:val="17"/>
        </w:rPr>
        <w:t>Phillips 66 Q2 2026 Earnings — $3.8B Net Income (339% YoY), $9.55 EPS, $5.9B Adjusted EBITDA (136% YoY) — Offshore Technology, Phillips 66 Investor Relations, July 2026</w:t>
      </w:r>
    </w:p>
    <w:p>
      <w:pPr>
        <w:spacing w:before="20" w:after="20"/>
        <w:ind w:left="170"/>
      </w:pPr>
      <w:r>
        <w:rPr>
          <w:rFonts w:ascii="Calibri" w:hAnsi="Calibri"/>
          <w:b/>
          <w:color w:val="4A6B25"/>
          <w:sz w:val="15"/>
        </w:rPr>
        <w:t xml:space="preserve">3. </w:t>
      </w:r>
      <w:r>
        <w:rPr>
          <w:rFonts w:ascii="Calibri" w:hAnsi="Calibri"/>
          <w:b w:val="0"/>
          <w:color w:val="3A4A28"/>
          <w:sz w:val="17"/>
        </w:rPr>
        <w:t>Phillips 66 Leadership Culture and AI Innovation — Learning Function AI Savings (~$1M), 90% Leader Development Touch, Bottom-Up AI Innovation — UNLEASH, Phillips 66 People, 2025-2026</w:t>
      </w:r>
    </w:p>
    <w:p>
      <w:pPr>
        <w:spacing w:before="20" w:after="20"/>
        <w:ind w:left="170"/>
      </w:pPr>
      <w:r>
        <w:rPr>
          <w:rFonts w:ascii="Calibri" w:hAnsi="Calibri"/>
          <w:b/>
          <w:color w:val="4A6B25"/>
          <w:sz w:val="15"/>
        </w:rPr>
        <w:t xml:space="preserve">4. </w:t>
      </w:r>
      <w:r>
        <w:rPr>
          <w:rFonts w:ascii="Calibri" w:hAnsi="Calibri"/>
          <w:b w:val="0"/>
          <w:color w:val="3A4A28"/>
          <w:sz w:val="17"/>
        </w:rPr>
        <w:t>Phillips 66 ESG Issues — Greenwashing Litigation Risk, Climate Action 100+ Assessment, CEO Compensation Not Climate-Linked — SEC Filings, Climate Action 100+, Yahoo Finance ESG, 2022-2026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PSX Key Statistics: Forward P/E 8.58, Trailing P/E 12.81, ROE 23.45%, D/E 63%, Profit Margin 4.66%, Dividend Yield 2.25%,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