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PTY</w:t>
      </w:r>
      <w:r>
        <w:rPr>
          <w:rFonts w:ascii="Calibri" w:hAnsi="Calibri"/>
          <w:b/>
          <w:color w:val="1A2010"/>
          <w:sz w:val="40"/>
        </w:rPr>
        <w:t xml:space="preserve">  PIMCO Corporate &amp; Income Opportunity Fund</w:t>
      </w:r>
    </w:p>
    <w:p>
      <w:pPr>
        <w:spacing w:after="120"/>
      </w:pPr>
      <w:r>
        <w:rPr>
          <w:rFonts w:ascii="Calibri" w:hAnsi="Calibri"/>
          <w:b/>
          <w:color w:val="6E8450"/>
          <w:sz w:val="18"/>
        </w:rPr>
        <w:t>DIVIDEND SLEEVE · 2026-09-22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PIMCO Corporate &amp; Income Opportunity Fund is a closed-end fixed income fund co-managed by Pacific Investment Management Company LLC (PIMCO), one of the world's largest fixed-income investment managers with approximately $2 trillion in AUM. The fund seeks maximum total return through a combination of current income and capital appreciation, investing primarily in corporate debt obligations rated Baa/BBB and Ba/BB across global credit markets. PTY utilizes leverage (D/E ~32%) to enhance income generation and maintains a monthly distribution of $0.119/share, yielding approximately 12.7%. The fund has a market cap of ~$2.5B and trades near book value (P/B 0.94). Portfolio managers include Alfred T. Murata, Giang Bui, and Mohit Mittal.</w:t>
      </w:r>
    </w:p>
    <w:p>
      <w:r>
        <w:rPr>
          <w:rFonts w:ascii="Calibri" w:hAnsi="Calibri"/>
          <w:b/>
          <w:color w:val="6E8450"/>
          <w:sz w:val="18"/>
        </w:rPr>
        <w:t>https://www.pimco.com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As a closed-end fund, PTY does not launch products or execute business pivots — it has maintained the same corporate credit strategy since inception in 2002. PIMCO as the fund manager has pioneered total return bond investing and expanded into alternatives, but PTY itself has not been a vehicle for innovation [1]. AI Deployment (0/2): No AI-powered investment products or specific AI-driven cost savings reported for this fund. PIMCO likely uses quantitative and AI methods in its research process, but no measurable results are cited for PTY. Market Share (1/2): PIMCO is one of the world's largest fixed-income managers, and PTY is one of the most recognized closed-end income funds on NYSE with ~$2.5B in market cap and consistent trading volume [2]. Product Pipeline (0/2): No next-generation products or fund innovations announced. The CEF structure is static by design. R&amp;D Intensity (0/1): No traditional R&amp;D applicable to a closed-end fund vehicle.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PTY's investment objective — 'maximum total return through current income and capital appreciation' — is a generic financial objective interchangeable with any income-oriented fund [2]. PIMCO's broader purpose of delivering investment solutions to clients is clear but not distinctive or transformative. Community Impact (0/2): No specific evidence of charitable programs, community investment, or philanthropic initiatives tied to PTY or PIMCO's management of this fund. PIMCO has some ESG integration practices, but no specific community impact data was identified [3]. Employee Retention (0/2): As a fund vehicle, PTY does not directly employ staff. PIMCO's retention data is not publicly available for the fund management team. Insider Buying (0/2): No insider buying data is applicable or available for a closed-end fund structure.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PTY benefits from very low leverage for a CEF (D/E 32.2%, well below the 70% target) and exceptional profit margin (73.4%) reflecting the income-pass-through nature of fund accounting [1]. Quarterly revenue growth of 19.1% YoY reflects higher interest income in the elevated rate environment. ROE of 8.64% is below the 15% target, dragging the score as bond fund returns are structurally lower than operating companies. The primary weakness is dividend sustainability: payout ratio of 139.8% exceeds 100% (scoring 0), indicating distributions exceed net investment income and rely on return of capital. Consecutive years of dividend growth is 0 after the distribution was cut from $0.1315 to $0.119/month in 2023. The 5-year dividend growth CAGR of -1.5% also scores 0. The fund has paid distributions continuously for approximately 23 years since 2002 inception, which provides a strong score on consecutive years paid [2]. Liquidity is adequate at ~$14.2M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PTY is a passive investment vehicle, and the Infinite Game framework applies primarily to PIMCO as its manager rather than the fund itself. PIMCO demonstrated organizational resilience by surviving the 2014 departure of co-founder Bill Gross — one of the most dramatic leadership crises in asset management history — and actually grew AUM in the aftermath. The firm has evolved from pure fixed income to a broader multi-asset platform. However, the fund structure is inherently finite-game: it exists to generate income and total return for shareholders, not to advance a cause. There is no evidence of a Just Cause, and the competitive language of fund management is focused on performance benchmarks and peer rankings rather than self-improvement.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PIMCO's purpose — delivering superior investment returns and solutions to clients — exists but is shallow and interchangeable with any asset manager. The fund's objective of 'maximum total return through current income and capital appreciation' is a financial objective, not a Just Cause in Sinek's sense [2]. There is no articulated vision of a better future. PIMCO's scale and reputation reflect excellent execution, but the company exists to manage money profitably, which is a finite-game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PIMCO rebuilt its organizational culture following the traumatic 2014 departure of Bill Gross, moving from a star culture centered on a single dominant figure to a collaborative multi-CIO model. This transition suggests organizational maturity and a movement toward greater team trust [2]. The current portfolio management team (Murata, Bui, Mittal) has been stable. However, PIMCO is widely known as an intense, high-pressure work environment, and no specific employee trust or retention data is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Fund management inherently operates in a finite-game context of performance benchmarks, peer rankings, and Morningstar ratings. PIMCO competes to beat benchmarks and attract AUM, which is fundamentally about winning relative to peers rather than self-improvement through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PTY has maintained the same corporate credit strategy since its 2002 inception — the fund has not pivoted or transformed its investment approach. PIMCO as a firm has expanded from pure fixed income into alternatives, equities, and multi-asset strategies, but this incremental evolution has not fundamentally redefined the organization. PTY itself is structurally rigid by design — a closed-end fund does not reinvent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PIMCO demonstrated courage during the 2014 Bill Gross departure by not panicking or radically changing strategy despite massive AUM outflows. The firm held to its investment philosophy and rebuilt client confidence through consistent performance. Additionally, PIMCO's willingness to use leverage in credit markets during dislocations (such as March 2020) shows conviction in long-term investment capability [1]. However, no evidence of sacrificing near-term results for transformative long-term capability beyond standard investment management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PTY offers a compelling 12.7% monthly distribution yield backed by PIMCO's world-class fixed income management (~$2T AUM) and a diversified corporate credit portfolio [1]. The fund trades near book value (P/B 0.94) with moderate leverage (D/E 32%), and net investment income has benefited from the higher-rate environment with 19.1% quarterly revenue growth. PIMCO's institutional-scale credit market access, research infrastructure, and 23-year track record of continuous distributions provide a degree of income reliability rare among high-yield vehicles [2]. The CEF structure allows tax-efficient monthly income distribution without forced selling during market dislocations.</w:t>
      </w:r>
    </w:p>
    <w:p>
      <w:pPr>
        <w:spacing w:after="120"/>
      </w:pPr>
      <w:r>
        <w:rPr>
          <w:rFonts w:ascii="Calibri" w:hAnsi="Calibri"/>
          <w:b w:val="0"/>
          <w:color w:val="3A4A28"/>
          <w:sz w:val="20"/>
        </w:rPr>
        <w:t>The bear case centers on distribution sustainability and structural limitations within the IOWN framework. The 139.8% payout ratio indicates the monthly $0.119 distribution exceeds net investment income, relying on return of capital or capital gains — a pattern that led to a distribution cut from $0.1315 to $0.119 in 2023, and the 5-year dividend growth CAGR is negative at -1.5% [1]. As rates normalize, net investment income could compress further, risking another distribution cut that would damage the fund's 12.7% yield thesis. As a CEF, PTY lacks the innovation capability, mission-driven purpose, and organic growth trajectory that the IOWN Return on Intention framework rewards — it is an income vehicle, not a compounding enterprise. The Inspire Impact Score of 0 (MIXED) reflects the absence of both positive and negative faith-alignment data for this fund vehicle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PIMCO credit selection expertise generating above-benchmark yields in the higher-rate environment, with 19.1% quarterly revenue growth demonstrating income expansion from elevated interest rates [1]</w:t>
      </w:r>
    </w:p>
    <w:p>
      <w:pPr>
        <w:spacing w:before="40" w:after="40"/>
        <w:ind w:left="283"/>
      </w:pPr>
      <w:r>
        <w:rPr>
          <w:rFonts w:ascii="Calibri" w:hAnsi="Calibri"/>
          <w:b/>
          <w:color w:val="4A6B25"/>
          <w:sz w:val="20"/>
        </w:rPr>
        <w:t xml:space="preserve">2. </w:t>
      </w:r>
      <w:r>
        <w:rPr>
          <w:rFonts w:ascii="Calibri" w:hAnsi="Calibri"/>
          <w:b w:val="0"/>
          <w:color w:val="3A4A28"/>
          <w:sz w:val="20"/>
        </w:rPr>
        <w:t>Potential for the fund to sustain its distribution if credit spreads tighten and defaults remain low, protecting the 12.7% yield that attracts income-focused investors [2]</w:t>
      </w:r>
    </w:p>
    <w:p>
      <w:pPr>
        <w:spacing w:before="40" w:after="40"/>
        <w:ind w:left="283"/>
      </w:pPr>
      <w:r>
        <w:rPr>
          <w:rFonts w:ascii="Calibri" w:hAnsi="Calibri"/>
          <w:b/>
          <w:color w:val="4A6B25"/>
          <w:sz w:val="20"/>
        </w:rPr>
        <w:t xml:space="preserve">3. </w:t>
      </w:r>
      <w:r>
        <w:rPr>
          <w:rFonts w:ascii="Calibri" w:hAnsi="Calibri"/>
          <w:b w:val="0"/>
          <w:color w:val="3A4A28"/>
          <w:sz w:val="20"/>
        </w:rPr>
        <w:t>Leveraged CEF structure amplifying returns in a favorable credit environment — D/E of 32% provides income enhancement without excessive leverage risk relative to CEF peers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Payout ratio of 139.8% is structurally unsustainable, indicating the fund distributes more than it earns and risks another distribution cut that would compress the 12.7% yield [1]</w:t>
      </w:r>
    </w:p>
    <w:p>
      <w:pPr>
        <w:spacing w:before="40" w:after="40"/>
        <w:ind w:left="283"/>
      </w:pPr>
      <w:r>
        <w:rPr>
          <w:rFonts w:ascii="Calibri" w:hAnsi="Calibri"/>
          <w:b/>
          <w:color w:val="4A6B25"/>
          <w:sz w:val="20"/>
        </w:rPr>
        <w:t xml:space="preserve">2. </w:t>
      </w:r>
      <w:r>
        <w:rPr>
          <w:rFonts w:ascii="Calibri" w:hAnsi="Calibri"/>
          <w:b w:val="0"/>
          <w:color w:val="3A4A28"/>
          <w:sz w:val="20"/>
        </w:rPr>
        <w:t>Credit cycle deterioration could impair the corporate bond portfolio — a recession with rising defaults would reduce both income and NAV, potentially triggering forced deleveraging [2]</w:t>
      </w:r>
    </w:p>
    <w:p>
      <w:pPr>
        <w:spacing w:before="40" w:after="40"/>
        <w:ind w:left="283"/>
      </w:pPr>
      <w:r>
        <w:rPr>
          <w:rFonts w:ascii="Calibri" w:hAnsi="Calibri"/>
          <w:b/>
          <w:color w:val="4A6B25"/>
          <w:sz w:val="20"/>
        </w:rPr>
        <w:t xml:space="preserve">3. </w:t>
      </w:r>
      <w:r>
        <w:rPr>
          <w:rFonts w:ascii="Calibri" w:hAnsi="Calibri"/>
          <w:b w:val="0"/>
          <w:color w:val="3A4A28"/>
          <w:sz w:val="20"/>
        </w:rPr>
        <w:t>Interest rate normalization compressing net investment income as the higher-for-longer rate environment that boosted fund revenue reverses, reducing the spread between borrowing costs and portfolio yields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Fixed income fund management has meaningful defensive moats against AI disruption. PIMCO's investment process relies on institutional-scale credit market access, relationship-based deal flow in private credit markets, deep regulatory expertise, and decades of fixed-income research infrastructure that AI cannot easily replicate [2]. The CEF structure itself — a legally regulated pooled vehicle with leverage, monthly distributions, and SEC oversight — creates structural barriers to AI displacement. However, AI-driven quantitative investment strategies are increasingly competitive in credit analysis, bond pricing, and portfolio construction, creating some pressure on traditional active fixed income managers [3]. AI Opportunity (0/1): PTY does not generate revenue from AI products or services. While PIMCO likely utilizes AI and machine learning in its investment research process, no quantifiable AI revenue contribution exists for this fund.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PIMCO Corporate &amp; Income Opportunity Fund FY2026 N-CSR Filing — Revenue $205.8M, Net Income $205.5M, Monthly Distribution $0.119/share, Payout Ratio 139.8%, SEC Archives, 2026</w:t>
      </w:r>
    </w:p>
    <w:p>
      <w:pPr>
        <w:spacing w:before="20" w:after="20"/>
        <w:ind w:left="170"/>
      </w:pPr>
      <w:r>
        <w:rPr>
          <w:rFonts w:ascii="Calibri" w:hAnsi="Calibri"/>
          <w:b/>
          <w:color w:val="4A6B25"/>
          <w:sz w:val="15"/>
        </w:rPr>
        <w:t xml:space="preserve">2. </w:t>
      </w:r>
      <w:r>
        <w:rPr>
          <w:rFonts w:ascii="Calibri" w:hAnsi="Calibri"/>
          <w:b w:val="0"/>
          <w:color w:val="3A4A28"/>
          <w:sz w:val="17"/>
        </w:rPr>
        <w:t>PIMCO Corporate &amp; Income Opportunity Fund Overview — CEF Connect, PIMCO.com, Yahoo Finance, StockAnalysis — NAV, Premium/Discount, Distribution History, P/B 0.94,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PIMCO ESG Integration and Sustainability Reports — ESG Questionnaire Response, PIMCO Sustainability Reports and Policies,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