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PURR</w:t>
      </w:r>
      <w:r>
        <w:rPr>
          <w:rFonts w:ascii="Calibri" w:hAnsi="Calibri"/>
          <w:b/>
          <w:color w:val="1A2010"/>
          <w:sz w:val="40"/>
        </w:rPr>
        <w:t xml:space="preserve">  Hyperliquid Strategies Inc.</w:t>
      </w:r>
    </w:p>
    <w:p>
      <w:pPr>
        <w:spacing w:after="120"/>
      </w:pPr>
      <w:r>
        <w:rPr>
          <w:rFonts w:ascii="Calibri" w:hAnsi="Calibri"/>
          <w:b/>
          <w:color w:val="6E8450"/>
          <w:sz w:val="18"/>
        </w:rPr>
        <w:t>GROWTH SLEEVE · 2026-09-01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Hyperliquid Strategies is a digital asset treasury company focused on the Hyperliquid ecosystem, operating as a pure-play HYPE token treasury for U.S. and institutional investors. The company maximizes shareholder value by accumulating HYPE tokens through staking, yield optimization, and active ecosystem engagement. FY2026 (ending June 30, 2026) saw a transition to a pure-play digital asset treasury with $553M in total income, $1.9B in equity, and a top-10 token position. Reported revenue was $48.5M with revenue mix shifting toward real-world assets. Shares surged 30% in August 2026 following President Trump's announcement that regulators are working to bring the Hyperliquid crypto platform into the U.S. in a fully compliant manner.</w:t>
      </w:r>
    </w:p>
    <w:p>
      <w:r>
        <w:rPr>
          <w:rFonts w:ascii="Calibri" w:hAnsi="Calibri"/>
          <w:b/>
          <w:color w:val="6E8450"/>
          <w:sz w:val="18"/>
        </w:rPr>
        <w:t>30 Employees · https://hypestrat.xyz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Hyperliquid Strategies executed a business model transformation by pivoting to become a pure-play digital asset treasury company focused on the HYPE token, shifting from a broader strategy to concentrated crypto exposure [1]. While bold, this is a single pivot to a highly speculative model that has not yet proven sustainable through a full market cycle. AI Deployment (0/2): The company itself does not deploy AI-powered products to customers. The underlying Hyperliquid protocol supports AI trading agents (1,100+ monthly active agents, $100M+ in 30-day volume), but these are ecosystem features of the protocol, not products developed or revenue-generating activities of Hyperliquid Strategies Inc. [3]. Market Share (1/2): Hyperliquid Strategies is the first and largest publicly traded HYPE token treasury company, holding $1.9B in equity with a top-10 token position [1]. While this represents niche category leadership, the category itself is self-created and the competitive moat is limited to first-mover advantage in listing a HYPE treasury vehicle on U.S. public markets. Product Pipeline (0/2): No specific next-generation products, platform features, or revenue initiatives were announced with timelines. The company's strategy is limited to token accumulation, staking, and yield optimization with no product roadmap visibility. R&amp;D Intensity (0/1): As a treasury/holding company, Hyperliquid Strategies has no meaningful R&amp;D activity or technology development budget.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Hyperliquid Strategies' stated purpose is to 'maximize shareholder value through accumulating HYPE, the native token of Hyperliquid' and 'provide capital-efficient and productive access to the HYPE token for U.S. and institutional investors' [2]. This is a clear articulation of what the company does and for whom, but is fundamentally a financial objective with no deeper purpose — it does not describe a better future state or articulate why institutional HYPE access matters beyond profit generation. Community Impact (0/2): No evidence of charitable programs, foundation, community investment, or social impact initiatives was identified. The company's public materials focus exclusively on token accumulation and shareholder returns. Employee Retention (0/2): The company is extremely small (estimated ~30 employees) with no publicly available retention, tenure, or culture data. CEO compensation was recently increased to $600K base with $2-3M in equity awards [4], but no broader workforce data exists. Insider Buying (0/2): No evidence of net insider buying by executives was found. CEO and chairman compensation is primarily equity-based through awards, but no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caveats. D/E is 0% with zero debt and $1.9B in stockholders' equity — well below the 70% target [1]. ROE of approximately 16.1% ($305.5M net income on $1.9B equity) slightly exceeds the 15% target. Revenue growth YoY of 412.55% reflects the transition to a crypto treasury model rather than organic growth [5]. Forward P/E of 56.10 based on FY2027 estimates is near the 60 floor, scoring just 0.10 [5]. Profit margin is extremely high (~87%) because net income includes HYPE token appreciation gains, distorting the metric beyond traditional comparability. Critical caveat: 5-year revenue CAGR and Forward PEG are unavailable, meaning 4 of 10 total weight units are excluded from the calculation. The score of 8 is computed on an incomplete metric set and should be interpreted cautiously — the company's core financial profile is a crypto holding vehicle with volatile earnings entirely dependent on HYPE token price. Liquidity passes with estimated daily volume of 2M+ shares at $11.50 ($23M+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Hyperliquid Strategies is a quintessential finite-game player in Sinek's framework. The company exists to maximize shareholder value through crypto token accumulation — a purely financial objective with no Just Cause, no articulated vision of a better future, and no purpose beyond returns. The pivot to a pure-play HYPE treasury shows some strategic boldness, but it was driven by financial opportunity rather than a deeper purpose. The company's competitive positioning is entirely about being first to list a HYPE treasury on public markets, and leadership discussions center on token price, not on building something that endures beyond the current crypto cycle.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Hyperliquid Strategies has no Just Cause. The company's stated purpose — maximizing shareholder value through HYPE token accumulation — is the definition of a finite objective [2]. There is no vision of a future state that would inspire sacrifice, no purpose beyond financial returns, and no articulation of why the world needs institutional HYPE access. This is a financial vehicle, not a cause-driven organization. Sinek would classify this as playing to win this quarter, not playing to keep playing.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is extremely small (~30 employees) with no publicly available data on organizational culture, trust, or psychological safety. CEO compensation was recently formalized with a $600K base salary and $2-3M in equity awards [4], and a COO was formally appointed in June 2026, suggesting the organizational structure is still being established. No evidence of employee empowerment, long tenure, or cultural practices creating safety was found. The lack of any employee-facing public messaging about culture or values suggests trust-building is not a leadership priority.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Hyperliquid Strategies operates in a self-created niche (publicly traded HYPE treasury) with no direct publicly traded competitors. The closest comparison is MicroStrategy (now Strategy) for Bitcoin, but no evidence was found of leadership acknowledging this as a worthy rival or referencing competitive dynamics as motivation for self-improvement. Competitive commentary focuses on HYPE token value and the company's unique positioning rather than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demonstrated strategic flexibility by pivoting from its prior business model to become a pure-play HYPE token treasury, fundamentally redefining its corporate identity and asset base [1]. This pivot required abandoning existing operations and concentrating entirely on the Hyperliquid ecosystem — a meaningful strategic shift. However, the pivot was driven by financial opportunity (HYPE token appreciation potential) rather than a Just Cause, and it represents a bet on a single cryptocurrency ecosystem rather than a 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pivot entirely to a HYPE token treasury required some courage — concentrating a public company's entire balance sheet on a single cryptocurrency ecosystem involves real financial risk and reputational exposure [1]. The company accepted concentrated crypto risk when many institutions were diversifying away from single-token exposure. However, this courage was in pursuit of financial returns, not a larger purpose. No evidence of leadership making costly decisions to advance a cause beyond shareholder value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Hyperliquid Strategies offers leveraged exposure to the Hyperliquid ecosystem through a publicly traded, regulated vehicle. FY2026 delivered $553M in total income, $1.9B in equity, and a top-10 HYPE token position, with revenue of $48.5M growing 413% YoY as the treasury model scaled [1]. The stock carries a consensus 'Strong Buy' rating with an average price target of $19.87 (+73% upside), and the August 2026 regulatory announcement from President Trump regarding Hyperliquid's U.S. compliance pathway could catalyze institutional adoption [5]. The zero-debt balance sheet and daily HYPE token buybacks provide structural support, and the company benefits from first-mover advantage as the only publicly traded HYPE treasury.</w:t>
      </w:r>
    </w:p>
    <w:p>
      <w:pPr>
        <w:spacing w:after="120"/>
      </w:pPr>
      <w:r>
        <w:rPr>
          <w:rFonts w:ascii="Calibri" w:hAnsi="Calibri"/>
          <w:b w:val="0"/>
          <w:color w:val="3A4A28"/>
          <w:sz w:val="20"/>
        </w:rPr>
        <w:t>The bear case is severe: this is a speculative vehicle with no operational business, no competitive moat, and earnings entirely dependent on HYPE token price, which has exhibited extreme volatility. FY2026 revenue of $48.5M supports a $2.35B market cap (97x Price/Sales), and the 86.6% profit margin is almost entirely from crypto token appreciation that could reverse in any downturn [5]. The company has no R&amp;D, no product pipeline, minimal employees (~30), and a stated purpose that is purely financial — providing no foundation for long-term value creation if HYPE token prices decline. Regulatory risk remains significant despite the Trump administration's favorable stance, as crypto regulation could tighten under future administrations. The Forward P/E of 56x assumes sustained token appreciation that is inherently unpredictable, and the company's concentration in a single token ecosystem creates catastrophic downside risk if Hyperliquid faces a protocol exploit, regulatory action, or competitive displacement.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Trump administration regulatory framework bringing Hyperliquid into full U.S. compliance could unlock institutional capital inflows and legitimize the treasury model</w:t>
      </w:r>
    </w:p>
    <w:p>
      <w:pPr>
        <w:spacing w:before="40" w:after="40"/>
        <w:ind w:left="283"/>
      </w:pPr>
      <w:r>
        <w:rPr>
          <w:rFonts w:ascii="Calibri" w:hAnsi="Calibri"/>
          <w:b/>
          <w:color w:val="4A6B25"/>
          <w:sz w:val="20"/>
        </w:rPr>
        <w:t xml:space="preserve">2. </w:t>
      </w:r>
      <w:r>
        <w:rPr>
          <w:rFonts w:ascii="Calibri" w:hAnsi="Calibri"/>
          <w:b w:val="0"/>
          <w:color w:val="3A4A28"/>
          <w:sz w:val="20"/>
        </w:rPr>
        <w:t>HYPE token price appreciation directly flows to book value — any sustained crypto bull cycle amplifies the company's equity and earnings disproportionately</w:t>
      </w:r>
    </w:p>
    <w:p>
      <w:pPr>
        <w:spacing w:before="40" w:after="40"/>
        <w:ind w:left="283"/>
      </w:pPr>
      <w:r>
        <w:rPr>
          <w:rFonts w:ascii="Calibri" w:hAnsi="Calibri"/>
          <w:b/>
          <w:color w:val="4A6B25"/>
          <w:sz w:val="20"/>
        </w:rPr>
        <w:t xml:space="preserve">3. </w:t>
      </w:r>
      <w:r>
        <w:rPr>
          <w:rFonts w:ascii="Calibri" w:hAnsi="Calibri"/>
          <w:b w:val="0"/>
          <w:color w:val="3A4A28"/>
          <w:sz w:val="20"/>
        </w:rPr>
        <w:t>Expansion into real-world asset (RWA) revenue streams and stablecoin yield generation could diversify income beyond pure token appreciation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Concentrated single-token exposure creates catastrophic downside risk — a HYPE protocol exploit, regulatory action, or competitive displacement could destroy 80%+ of book value overnight</w:t>
      </w:r>
    </w:p>
    <w:p>
      <w:pPr>
        <w:spacing w:before="40" w:after="40"/>
        <w:ind w:left="283"/>
      </w:pPr>
      <w:r>
        <w:rPr>
          <w:rFonts w:ascii="Calibri" w:hAnsi="Calibri"/>
          <w:b/>
          <w:color w:val="4A6B25"/>
          <w:sz w:val="20"/>
        </w:rPr>
        <w:t xml:space="preserve">2. </w:t>
      </w:r>
      <w:r>
        <w:rPr>
          <w:rFonts w:ascii="Calibri" w:hAnsi="Calibri"/>
          <w:b w:val="0"/>
          <w:color w:val="3A4A28"/>
          <w:sz w:val="20"/>
        </w:rPr>
        <w:t>No operational business, competitive moat, or product development means the company has zero defensive capabilities if the treasury model becomes commoditized or crypto sentiment reverses</w:t>
      </w:r>
    </w:p>
    <w:p>
      <w:pPr>
        <w:spacing w:before="40" w:after="40"/>
        <w:ind w:left="283"/>
      </w:pPr>
      <w:r>
        <w:rPr>
          <w:rFonts w:ascii="Calibri" w:hAnsi="Calibri"/>
          <w:b/>
          <w:color w:val="4A6B25"/>
          <w:sz w:val="20"/>
        </w:rPr>
        <w:t xml:space="preserve">3. </w:t>
      </w:r>
      <w:r>
        <w:rPr>
          <w:rFonts w:ascii="Calibri" w:hAnsi="Calibri"/>
          <w:b w:val="0"/>
          <w:color w:val="3A4A28"/>
          <w:sz w:val="20"/>
        </w:rPr>
        <w:t>Forward P/E of 56x and 97x Price/Sales assume sustained token appreciation — any prolonged crypto winter would compress earnings and the multiple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Hyperliquid Strategies' core business — accumulating and holding HYPE tokens — is structurally insulated from AI disruption because the treasury function cannot be replaced by artificial intelligence. The value proposition is providing a publicly traded, regulated vehicle for institutional HYPE exposure, which requires corporate structure and regulatory compliance rather than operational processes AI could automate [2]. However, the moat is limited: AI-powered investment platforms and tokenization tools could make direct crypto access increasingly frictionless for institutional investors, reducing the premium investors pay for a treasury wrapper. The company's minimal operational complexity means there is little for AI to enhance or disrupt, placing it in PROTECTED territory rather than IMMUNE. AI Opportunity (0/1): Hyperliquid Strategies does not generate revenue from AI products or services. While the underlying Hyperliquid protocol supports AI trading agents, these are ecosystem features of the protocol, not revenue sources for the public company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Hyperliquid Strategies FY2026 Earnings and Financial Results, ending June 30, 2026</w:t>
      </w:r>
    </w:p>
    <w:p>
      <w:pPr>
        <w:spacing w:before="20" w:after="20"/>
        <w:ind w:left="170"/>
      </w:pPr>
      <w:r>
        <w:rPr>
          <w:rFonts w:ascii="Calibri" w:hAnsi="Calibri"/>
          <w:b/>
          <w:color w:val="4A6B25"/>
          <w:sz w:val="15"/>
        </w:rPr>
        <w:t xml:space="preserve">2. </w:t>
      </w:r>
      <w:r>
        <w:rPr>
          <w:rFonts w:ascii="Calibri" w:hAnsi="Calibri"/>
          <w:b w:val="0"/>
          <w:color w:val="3A4A28"/>
          <w:sz w:val="17"/>
        </w:rPr>
        <w:t>Hyperliquid Strategies Inc. corporate website and mission, hypestrat.xyz,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Hyperliquid Protocol AI Trading Agents and Ecosystem Overview, 2026</w:t>
      </w:r>
    </w:p>
    <w:p>
      <w:pPr>
        <w:spacing w:before="20" w:after="20"/>
        <w:ind w:left="170"/>
      </w:pPr>
      <w:r>
        <w:rPr>
          <w:rFonts w:ascii="Calibri" w:hAnsi="Calibri"/>
          <w:b/>
          <w:color w:val="4A6B25"/>
          <w:sz w:val="15"/>
        </w:rPr>
        <w:t xml:space="preserve">4. </w:t>
      </w:r>
      <w:r>
        <w:rPr>
          <w:rFonts w:ascii="Calibri" w:hAnsi="Calibri"/>
          <w:b w:val="0"/>
          <w:color w:val="3A4A28"/>
          <w:sz w:val="17"/>
        </w:rPr>
        <w:t>TipRanks — Hyperliquid Strategies Executive Compensation and Leadership Structure, July 2026</w:t>
      </w:r>
    </w:p>
    <w:p>
      <w:pPr>
        <w:spacing w:before="20" w:after="20"/>
        <w:ind w:left="170"/>
      </w:pPr>
      <w:r>
        <w:rPr>
          <w:rFonts w:ascii="Calibri" w:hAnsi="Calibri"/>
          <w:b/>
          <w:color w:val="4A6B25"/>
          <w:sz w:val="15"/>
        </w:rPr>
        <w:t xml:space="preserve">5. </w:t>
      </w:r>
      <w:r>
        <w:rPr>
          <w:rFonts w:ascii="Calibri" w:hAnsi="Calibri"/>
          <w:b w:val="0"/>
          <w:color w:val="3A4A28"/>
          <w:sz w:val="17"/>
        </w:rPr>
        <w:t>Stock Analysis — PURR Statistics, Forecasts, and Analyst Ratings,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