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QFIN</w:t>
      </w:r>
      <w:r>
        <w:rPr>
          <w:rFonts w:ascii="Calibri" w:hAnsi="Calibri"/>
          <w:b/>
          <w:color w:val="1A2010"/>
          <w:sz w:val="40"/>
        </w:rPr>
        <w:t xml:space="preserve">  Qfin Holdings, Inc.</w:t>
      </w:r>
    </w:p>
    <w:p>
      <w:pPr>
        <w:spacing w:after="120"/>
      </w:pPr>
      <w:r>
        <w:rPr>
          <w:rFonts w:ascii="Calibri" w:hAnsi="Calibri"/>
          <w:b/>
          <w:color w:val="6E8450"/>
          <w:sz w:val="18"/>
        </w:rPr>
        <w:t>GROWTH SLEEVE · 2026-09-17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NASDAQ · China</w:t>
      </w:r>
    </w:p>
    <w:p>
      <w:pPr>
        <w:spacing w:after="80"/>
      </w:pPr>
      <w:r>
        <w:rPr>
          <w:rFonts w:ascii="Calibri" w:hAnsi="Calibri"/>
          <w:b w:val="0"/>
          <w:color w:val="3A4A28"/>
          <w:sz w:val="20"/>
        </w:rPr>
        <w:t>Qfin Holdings, Inc. (formerly Qifu Technology / 360 DigiTech) operates an AI-driven credit-tech platform under the Qifu Jietiao brand in China, matching borrowers with financial institution partners through credit assessment, fund matching, and post-facilitation services, alongside a capital-light platform/SaaS model for banks under CEO Haisheng Wu [1][2]. Under China's August 2026 fintech-lending crackdown -- a 24% APR cap and stricter fee-disclosure rules -- Qfin's profit has been squeezed sharply and the shares have fallen more than 74% from their 52-week high, even as the company accelerates a pivot toward capital-light SaaS and overseas expansion [3].</w:t>
      </w:r>
    </w:p>
    <w:p>
      <w:r>
        <w:rPr>
          <w:rFonts w:ascii="Calibri" w:hAnsi="Calibri"/>
          <w:b/>
          <w:color w:val="6E8450"/>
          <w:sz w:val="18"/>
        </w:rPr>
        <w:t>3,557 Employees · https://www.qfin.com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Qfin has transformed from an online lending facilitator into what it describes as 'one of China's leading AI-empowered Credit Tech platforms,' formed the first dedicated large language model team among Chinese fintechs, and was a major contributor to drafting China's first financial-LLM industry standard [1][2]. AI Deployment (2/2): TRIDENT, Qfin's proprietary multimodal large language model, is deployed in production for fraud detection, customer service, and user-experience optimization -- a concrete, named, shipped AI product rather than an aspirational initiative [2]. Market Share (1/2): Qfin is one of China's largest credit-tech platforms (2025 revenue of RMB19.21B, +11.88% YoY) alongside peers Lexin and Yiren, but the entire sector is undergoing regulatory-driven consolidation that makes durable share claims uncertain [1][3]. Product Pipeline (1/2): The company is actively pivoting toward capital-light platform/SaaS services for bank partners and accelerating overseas expansion in direct response to the domestic APR cap, an adaptive but as-yet-unproven pipeline shift [3]. R&amp;D Intensity (1/1): A joint AI lab with Shanghai Jiao Tong University's Department of Computer Science and Engineering and the dedicated LLM team both evidence meaningful, sustained R&amp;D investment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Qfin's stated purpose -- using AI and data to help financial institutions extend credit more efficiently -- is a functional, financial-inclusion-adjacent description rather than a deeply distinctive, stakeholder-centered mission, and its core high-cost consumer lending model is precisely what China's 24% APR cap was designed to constrain [3]. Community Impact (0/2): The company published a 2025 ESG report, but its business model has drawn direct regulatory intervention over consumer-facing fee transparency and cost practices, and Qfin along with peers was summoned by authorities over a high volume of customer complaints, undercutting any community-impact credit [3][4]. Employee Retention (0/2): No employee turnover or tenure data was identified. Insider Buying (0/2): No meaningful net insider buying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PEG ratio is not meaningful given negative near-term earnings growth and was excluded from the weighted calculation. Efficiency and valuation metrics are exceptionally strong on a mechanical basis -- D/E of 14.3%, ROE of 15.3%, profit margin of 22.3%, and an extremely low Forward P/E of 2.67x (trailing P/E of 1.85x) all score near or at the ceiling, reflecting a stock priced for severe distress relative to its still-profitable trailing financials [1][4]. This is a case where mechanical cheapness and current fundamentals diverge sharply from forward-looking risk: revenue growth YoY of -31.6% scores at the floor, directly reflecting the regulatory-driven margin compression underway since the 24% APR cap took effect, and readers should weight the qualitative regulatory risk discussed elsewhere in this report heavily alongside this score. Liquidity clears the floor at ~$15.4M average daily dollar volume (1.88M shares x $8.18).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Qfin's leadership has shown genuine adaptive courage, pivoting the business model toward capital-light SaaS for bank partners and accelerating overseas expansion in direct response to successive rounds of Chinese fintech regulation, most recently the August 2026 24% APR cap. However, the underlying mission is fundamentally transactional (matching borrowers to lenders at scale) rather than a deeply held cause, and the fact that the company -- like legitimate peers -- was summoned by regulators over customer complaint volume suggests the business has, at least historically, optimized for growth and fee revenue in ways now being actively constrained by the state, placing it in mixed rather than infinite territory.</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Qfin's mission is functionally about connecting borrowers with credit at scale using AI, which is useful but transactional rather than transcendent, and the fact that the August 2026 regulatory crackdown was explicitly designed to curb practices across 'even legit players' like Qfin suggests the historical business model prioritized fee revenue and volume over a durable, protective cause for borrowers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specific internal culture, turnover, or engagement data was identified either supporting or detracting from a trust-based culture assessment, so a neutral score is applied.</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Qfin competes with Lexin, Yiren, and other Chinese credit-tech platforms, and the current environment is characterized by sector-wide regulatory consolidation ('crackdown hits even legit players') rather than distinctive collaborative or learning-oriented rivalry among the peer group [3].</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active pivot from a fee-driven direct-lending-facilitation model toward capital-light platform/SaaS services for financial institution partners, combined with accelerating overseas expansion, is a clear, evidenced, and currently-in-motion business-model reinvention undertaken in direct response to regulatory existential threat [3].</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Wu has navigated the company through multiple waves of Chinese fintech regulatory upheaval -- from the earlier P2P crackdown era to the current 24% APR cap -- by proactively pivoting toward a capital-light SaaS model for banks and accelerating overseas expansion, a credible act of strategic adaptation under genuine existential pressure rather than denial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Qfin trades at just 1.85x trailing and 2.67x forward earnings after a 74%+ decline from its 52-week high, a valuation that already prices in severe regulatory-driven margin compression following China's August 2026 24% APR cap [3]. The company's underlying AI capability -- TRIDENT, its proprietary multimodal LLM used in production for fraud detection and customer service, plus its role co-drafting China's first financial-LLM industry standard -- is a genuine, evidenced technology moat that most Western investors underappreciate in a name trading at distressed multiples [1][2]. Management's proactive pivot toward capital-light SaaS services for bank partners and accelerated overseas expansion directly addresses the regulatory threat to its legacy fee-based model, and trailing profitability (22.3% margin, 15.3% ROE) remains intact for now, providing optionality if the SaaS transition executes successfully.</w:t>
      </w:r>
    </w:p>
    <w:p>
      <w:pPr>
        <w:spacing w:after="120"/>
      </w:pPr>
      <w:r>
        <w:rPr>
          <w:rFonts w:ascii="Calibri" w:hAnsi="Calibri"/>
          <w:b w:val="0"/>
          <w:color w:val="3A4A28"/>
          <w:sz w:val="20"/>
        </w:rPr>
        <w:t>The bear case is dominated by regulatory risk that is still actively unfolding: revenue growth YoY of -31.6% and EPS growth YoY of -76.6% reflect the crackdown already biting hard, Q2 2026 non-GAAP EPS missed consensus by 38%, and profit reportedly tumbled nearly 50% as the 24% APR ceiling strips out previously profitable fee structures [1][3][4]. Qfin was also summoned by Chinese authorities over customer complaint volume, alongside peers, indicating the regulatory scrutiny extends beyond pricing into conduct and disclosure practices that could bring further restrictions. The stock's statistically cheap valuation reflects real, unresolved regulatory and geopolitical risk (China ADR delisting/governance concerns broadly, plus sector-specific crackdown) rather than a simple mispricing, and the mechanically strong Infrastructure score of 9 should be read alongside a Just Cause score of just 3 and an Inspiration score of 2 -- this is a name where financial efficiency and mission/governance quality diverge sharply.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execution of the pivot toward capital-light SaaS/platform services for bank partners would reduce direct regulatory exposure to the 24% APR cap and could support margin stabilization [3]</w:t>
      </w:r>
    </w:p>
    <w:p>
      <w:pPr>
        <w:spacing w:before="40" w:after="40"/>
        <w:ind w:left="283"/>
      </w:pPr>
      <w:r>
        <w:rPr>
          <w:rFonts w:ascii="Calibri" w:hAnsi="Calibri"/>
          <w:b/>
          <w:color w:val="4A6B25"/>
          <w:sz w:val="20"/>
        </w:rPr>
        <w:t xml:space="preserve">2. </w:t>
      </w:r>
      <w:r>
        <w:rPr>
          <w:rFonts w:ascii="Calibri" w:hAnsi="Calibri"/>
          <w:b w:val="0"/>
          <w:color w:val="3A4A28"/>
          <w:sz w:val="20"/>
        </w:rPr>
        <w:t>Accelerating overseas expansion diversifies revenue away from Chinese regulatory risk concentration, a strategy management has explicitly signaled as a priority [3]</w:t>
      </w:r>
    </w:p>
    <w:p>
      <w:pPr>
        <w:spacing w:before="40" w:after="40"/>
        <w:ind w:left="283"/>
      </w:pPr>
      <w:r>
        <w:rPr>
          <w:rFonts w:ascii="Calibri" w:hAnsi="Calibri"/>
          <w:b/>
          <w:color w:val="4A6B25"/>
          <w:sz w:val="20"/>
        </w:rPr>
        <w:t xml:space="preserve">3. </w:t>
      </w:r>
      <w:r>
        <w:rPr>
          <w:rFonts w:ascii="Calibri" w:hAnsi="Calibri"/>
          <w:b w:val="0"/>
          <w:color w:val="3A4A28"/>
          <w:sz w:val="20"/>
        </w:rPr>
        <w:t>TRIDENT and the Shanghai Jiao Tong University AI lab partnership could yield further fraud-detection and underwriting efficiency gains that help offset margin pressure from the APR cap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China's 24% APR cap and fee-disclosure rules are already driving severe results -- Q2 2026 non-GAAP EPS missed estimates by 38% and revenue growth YoY fell to -31.6% -- and further regulatory tightening remains a live risk [1][3][4]</w:t>
      </w:r>
    </w:p>
    <w:p>
      <w:pPr>
        <w:spacing w:before="40" w:after="40"/>
        <w:ind w:left="283"/>
      </w:pPr>
      <w:r>
        <w:rPr>
          <w:rFonts w:ascii="Calibri" w:hAnsi="Calibri"/>
          <w:b/>
          <w:color w:val="4A6B25"/>
          <w:sz w:val="20"/>
        </w:rPr>
        <w:t xml:space="preserve">2. </w:t>
      </w:r>
      <w:r>
        <w:rPr>
          <w:rFonts w:ascii="Calibri" w:hAnsi="Calibri"/>
          <w:b w:val="0"/>
          <w:color w:val="3A4A28"/>
          <w:sz w:val="20"/>
        </w:rPr>
        <w:t>Qfin was summoned by regulators alongside peers over customer complaint volume, indicating conduct-related regulatory risk beyond pure pricing caps that could result in additional restrictions or penalties [3]</w:t>
      </w:r>
    </w:p>
    <w:p>
      <w:pPr>
        <w:spacing w:before="40" w:after="40"/>
        <w:ind w:left="283"/>
      </w:pPr>
      <w:r>
        <w:rPr>
          <w:rFonts w:ascii="Calibri" w:hAnsi="Calibri"/>
          <w:b/>
          <w:color w:val="4A6B25"/>
          <w:sz w:val="20"/>
        </w:rPr>
        <w:t xml:space="preserve">3. </w:t>
      </w:r>
      <w:r>
        <w:rPr>
          <w:rFonts w:ascii="Calibri" w:hAnsi="Calibri"/>
          <w:b w:val="0"/>
          <w:color w:val="3A4A28"/>
          <w:sz w:val="20"/>
        </w:rPr>
        <w:t>The stock's 74%+ decline from its 52-week high reflects genuine uncertainty about the durability of the credit-tech business model under China's evolving fintech framework, and U.S.-listed China ADRs carry additional geopolitical and governance/audit-access risk not captured in the mechanical Infrastructure score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Qfin's competitive moat is itself built on proprietary AI -- the TRIDENT multimodal LLM and an established credit-assessment engine -- meaning advances in AI are structurally an enabler that widens Qfin's underwriting and fraud-detection edge rather than a technology that threatens to disintermediate the company [1][2]. The company's role in co-drafting China's first financial-LLM industry standard further signals it as a rule-setter rather than a rule-taker on AI adoption in its sector. AI Opportunity (1/1): TRIDENT is in production use for fraud detection, customer service, and UX optimization, and the Shanghai Jiao Tong University AI lab partnership provides an ongoing pipeline of applied research, together satisfying a clear, evidenced opportunity tiebreaker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Qfin Holdings 2025 full-year and Q1/Q2 2026 earnings results -- SEC Form 6-K filings, CNN Markets, StockAnalysis, 2026</w:t>
      </w:r>
    </w:p>
    <w:p>
      <w:pPr>
        <w:spacing w:before="20" w:after="20"/>
        <w:ind w:left="170"/>
      </w:pPr>
      <w:r>
        <w:rPr>
          <w:rFonts w:ascii="Calibri" w:hAnsi="Calibri"/>
          <w:b/>
          <w:color w:val="4A6B25"/>
          <w:sz w:val="15"/>
        </w:rPr>
        <w:t xml:space="preserve">2. </w:t>
      </w:r>
      <w:r>
        <w:rPr>
          <w:rFonts w:ascii="Calibri" w:hAnsi="Calibri"/>
          <w:b w:val="0"/>
          <w:color w:val="3A4A28"/>
          <w:sz w:val="17"/>
        </w:rPr>
        <w:t>Qfin Holdings AI/LLM strategy -- TRIDENT multimodal LLM, Shanghai Jiao Tong University AI lab, CEO Haisheng Wu leadership and UN General Assembly participation, ir.qifu.tech,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China fintech-lending regulatory crackdown -- Benzinga, Simply Wall St, Investing.com, 24% APR cap, customer complaint summons, 74% stock decline from 52-week high, April-August 2026</w:t>
      </w:r>
    </w:p>
    <w:p>
      <w:pPr>
        <w:spacing w:before="20" w:after="20"/>
        <w:ind w:left="170"/>
      </w:pPr>
      <w:r>
        <w:rPr>
          <w:rFonts w:ascii="Calibri" w:hAnsi="Calibri"/>
          <w:b/>
          <w:color w:val="4A6B25"/>
          <w:sz w:val="15"/>
        </w:rPr>
        <w:t xml:space="preserve">4. </w:t>
      </w:r>
      <w:r>
        <w:rPr>
          <w:rFonts w:ascii="Calibri" w:hAnsi="Calibri"/>
          <w:b w:val="0"/>
          <w:color w:val="3A4A28"/>
          <w:sz w:val="17"/>
        </w:rPr>
        <w:t>Qfin Holdings 2025 ESG Report -- ir.qifu.tech news release, April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yfinance -- QFIN key statistics: D/E 14.3%, ROE 15.3%, Forward P/E 2.67, trailing P/E 1.85, dividend yield 15.37%,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