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QXO</w:t>
      </w:r>
      <w:r>
        <w:rPr>
          <w:rFonts w:ascii="Calibri" w:hAnsi="Calibri"/>
          <w:b/>
          <w:color w:val="1A2010"/>
          <w:sz w:val="40"/>
        </w:rPr>
        <w:t xml:space="preserve">  QXO, Inc.</w:t>
      </w:r>
    </w:p>
    <w:p>
      <w:pPr>
        <w:spacing w:after="120"/>
      </w:pPr>
      <w:r>
        <w:rPr>
          <w:rFonts w:ascii="Calibri" w:hAnsi="Calibri"/>
          <w:b/>
          <w:color w:val="6E8450"/>
          <w:sz w:val="18"/>
        </w:rPr>
        <w:t>GROWTH SLEEVE · 2026-10-16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Distribution · NYSE · United States</w:t>
      </w:r>
    </w:p>
    <w:p>
      <w:pPr>
        <w:spacing w:after="80"/>
      </w:pPr>
      <w:r>
        <w:rPr>
          <w:rFonts w:ascii="Calibri" w:hAnsi="Calibri"/>
          <w:b w:val="0"/>
          <w:color w:val="3A4A28"/>
          <w:sz w:val="20"/>
        </w:rPr>
        <w:t>QXO distributes roofing, waterproofing, and complementary building products across the United States and Canada under brands including GAF, Owens Corning, CertainTeed, and James Hardie. Formed when serial acquirer Brad Jacobs renamed SilverSun Technologies in June 2024, QXO closed the $11B acquisition of Beacon Roofing Supply in February 2025 and the $2.2B Kodiak Building Partners deal shortly after. Q2 2026 net sales reached $3.25B (up 70% YoY including $595M from Kodiak), with adjusted EBITDA of $272M but a GAAP net loss of $0.14 per share [1]. First half 2026 net sales totaled $4.98B versus $1.92B in the prior year. Management targets $50B in annual revenue within the next decade and more than doubling EBITDA by 2030 through acquisitions and organic growth [3].</w:t>
      </w:r>
    </w:p>
    <w:p>
      <w:r>
        <w:rPr>
          <w:rFonts w:ascii="Calibri" w:hAnsi="Calibri"/>
          <w:b/>
          <w:color w:val="6E8450"/>
          <w:sz w:val="18"/>
        </w:rPr>
        <w:t>7,794 Employees · https://www.qxo.com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Brad Jacobs executed one of the fastest large-scale industrial distribution roll-ups in history, transforming micro-cap SilverSun Technologies into an $11B+ building products distributor through the Beacon ($11B) and Kodiak ($2.2B) acquisitions in under 18 months [1][3]. Q2 2026 net sales of $3.25B demonstrate the platform is operational at scale. While transformative in execution, this is M&amp;A-driven consolidation rather than organic product innovation. AI Deployment (1/2): QXO deploys AI-driven pricing engines, dynamic ordering portals, and predictive inventory tools across its distribution network, with Jacobs stating agentic AI helps the sales force prioritize leads and optimize margins [4]. No quantified savings or revenue impact has been publicly disclosed. Market Share Leadership (1/2): QXO is now a top-three building products distributor in North America but competes directly with SRS Distribution (Home Depot), ABC Supply, and other regional players in a highly fragmented market where the top 10 hold less than 30% share [3]. Product Pipeline (0/2): No next-generation products announced; the pipeline consists entirely of future M&amp;A targets with a long-term $50B revenue goal but no specific timelines or named acquisitions beyond the stated ambition [3]. R&amp;D Intensity (0/1): As an industrial distributor, QXO's R&amp;D spending is minimal relative to revenue, well below technology-sector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QXO's stated purpose is building a 'tech-forward leader in building products distribution,' which is clear about the business objective but generic — interchangeable with any distribution consolidator and lacking a deeper purpose beyond market dominance [3]. Community Impact (0/2): No evidence of charitable programs, community investment, or foundation activities was found in company disclosures or coverage. The company is focused entirely on acquisition integration and operational transformation. Employee Retention (0/2): QXO aggressively flattened Beacon's corporate hierarchy from nine layers to four and restructured compensation to tie pay to profitability rather than volume [4]. Jacobs publicly stated 'I don't think I'm going to have a job' long-term due to AI and that 'the humans won't add much value,' which signals a transactional culture [5]. No voluntary turnover or average tenure data is available. Insider Buying (2/2): Brad Jacobs committed over $900M of his personal capital to QXO, representing one of the largest CEO equity commitments in the industrials sector and demonstrating exceptional alignment with long-term shareholders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57% is well below the 70% target (score 1.0), reflecting disciplined leverage relative to acquisition-heavy peers [6]. ROE is negative at -4.6% (score 0.0), as GAAP losses from integration costs and purchase accounting weigh on profitability. Revenue growth of 70.3% YoY (score 1.0) is driven primarily by acquisitions rather than organic growth [1]. Forward P/E of 20.3 is just above the 20 target (score 0.99). Profit margin is negative at -5.2% (score 0.0), reflecting early-stage integration. Forward PEG of 0.81 is below the 1.0 target (score 1.0, 2x weight), indicating significant earnings growth is expected as synergies materialize. Revenue 5yr CAGR is excluded as the company is too young. Daily dollar volume of approximately $217M provides strong liquidity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QXO is a quintessential finite player — Brad Jacobs' fourth major roll-up (after United Waste, United Rentals, and XPO Logistics) built on the same acquire-restructure-optimize playbook. The company's purpose is to consolidate a fragmented market for scale advantages, not to advance a cause that outlasts any single business cycle. Leadership's public statements about AI eliminating human value and the aggressive organizational restructuring signal a transactional, results-driven culture more focused on winning this decade than enduring for generations.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QXO's purpose — becoming the largest tech-forward building products distributor — is a market-share goal, not a Just Cause in Sinek's framework [3]. Jacobs is executing his fourth iteration of the same roll-up playbook across waste, equipment rental, logistics, and now distribution. There is no articulated vision of a future state that transcends the company's financial ambitions or inspires sacrifice beyond equity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QXO flattened Beacon's hierarchy from nine layers to four and restructured compensation systems within months of closing the acquisition, signaling aggressive top-down change [4]. CEO Brad Jacobs publicly stated 'the humans won't add much value' long-term due to AI, which undermines the psychological safety Sinek considers foundational [5]. No evidence of employee engagement programs, retention metrics, or cultural initiatives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Jacobs frames competition through the lens of self-improvement — describing the fragmented building products market as an opportunity to build a better operating platform rather than a war to destroy competitors [3][4]. His competitive language focuses on operational excellence and technology differentiation rather than market-share destruction, and he acknowledges the strengths of established players in the distribution ecosystem.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Jacobs has demonstrated serial reinvention across waste management, equipment rental, logistics, and now building products distribution, and QXO itself transformed from SilverSun Technologies into an $11B industrial distributor [5]. However, each venture follows the same consolidation-plus-technology playbook rather than a purpose-driven transformation, and the pivots are driven by financial opportunity rather than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Jacobs committed $900M+ of personal capital and executed the $11B Beacon acquisition when markets questioned the premium paid, then immediately restructured the organization while absorbing near-term GAAP losses [1][5]. Investing heavily in technology integration while the company remains unprofitable shows willingness to sacrifice short-term results for long-term operational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QXO at $11.18 is Brad Jacobs' fourth serial roll-up, now a top-three building products distributor in North America with a $3.25B quarterly revenue run rate following the $11B Beacon and $2.2B Kodiak acquisitions [1]. The bull case rests on Jacobs' proven operational playbook — he created $37B+ in enterprise value across United Waste, United Rentals, and XPO — applied to a $800B+ fragmented market where the top 10 distributors hold less than 30% share [3]. Q2 2026 adjusted EBITDA of $272M (up 33% YoY) suggests early synergies are materializing, the Forward PEG of 0.81 prices in rapid earnings normalization, and management targets more than doubling EBITDA by 2030 through continued acquisitions and technology-driven margin improvement [1][4]. D/E of 57% provides balance sheet capacity for further M&amp;A. Consensus forward estimates project $14.3B full-year revenue and $0.30 EPS as the platform scales [6].</w:t>
      </w:r>
    </w:p>
    <w:p>
      <w:pPr>
        <w:spacing w:after="120"/>
      </w:pPr>
      <w:r>
        <w:rPr>
          <w:rFonts w:ascii="Calibri" w:hAnsi="Calibri"/>
          <w:b w:val="0"/>
          <w:color w:val="3A4A28"/>
          <w:sz w:val="20"/>
        </w:rPr>
        <w:t>The bear case centers on execution risk and structural profitability concerns. QXO remains GAAP-unprofitable with a -5.2% net margin and negative ROE (-4.6%), and the 70% revenue growth is entirely acquisition-driven with no disclosed organic growth metrics [1][6]. Integration risk is significant — flattening Beacon from 9 to 4 management layers while simultaneously absorbing Kodiak creates operational disruption risk in a relationship-driven distribution business where local contractor relationships drive revenue [4]. The $50B revenue target requires roughly $35B+ in additional acquisitions at increasingly competitive multiples, and the building products market is cyclically exposed to housing starts and construction activity. Jacobs' public statements about AI eliminating human roles, combined with aggressive restructuring, risk talent attrition in a business where relationships matter [5]. The stock has declined from $13.76 to $11.18 since August, and at a $11.6B market cap, prices in substantial future value creation that has yet to materialize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Beacon/Kodiak synergy realization — management targets more than doubling EBITDA by 2030 through procurement consolidation, technology platform deployment, and SG&amp;A rationalization across the distribution network [1][3]</w:t>
      </w:r>
    </w:p>
    <w:p>
      <w:pPr>
        <w:spacing w:before="40" w:after="40"/>
        <w:ind w:left="283"/>
      </w:pPr>
      <w:r>
        <w:rPr>
          <w:rFonts w:ascii="Calibri" w:hAnsi="Calibri"/>
          <w:b/>
          <w:color w:val="4A6B25"/>
          <w:sz w:val="20"/>
        </w:rPr>
        <w:t xml:space="preserve">2. </w:t>
      </w:r>
      <w:r>
        <w:rPr>
          <w:rFonts w:ascii="Calibri" w:hAnsi="Calibri"/>
          <w:b w:val="0"/>
          <w:color w:val="3A4A28"/>
          <w:sz w:val="20"/>
        </w:rPr>
        <w:t>Continued M&amp;A in fragmented building products distribution where the top 10 players hold less than 30% of an $800B+ market, with QXO's balance sheet capacity (57% D/E) and Jacobs' track record attracting acquisition targets [3]</w:t>
      </w:r>
    </w:p>
    <w:p>
      <w:pPr>
        <w:spacing w:before="40" w:after="40"/>
        <w:ind w:left="283"/>
      </w:pPr>
      <w:r>
        <w:rPr>
          <w:rFonts w:ascii="Calibri" w:hAnsi="Calibri"/>
          <w:b/>
          <w:color w:val="4A6B25"/>
          <w:sz w:val="20"/>
        </w:rPr>
        <w:t xml:space="preserve">3. </w:t>
      </w:r>
      <w:r>
        <w:rPr>
          <w:rFonts w:ascii="Calibri" w:hAnsi="Calibri"/>
          <w:b w:val="0"/>
          <w:color w:val="3A4A28"/>
          <w:sz w:val="20"/>
        </w:rPr>
        <w:t>Technology-driven margin expansion through AI pricing engines, predictive inventory, and dynamic ordering portals that differentiate QXO's platform from traditional distributor competitors running on legacy systems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 simultaneously restructuring Beacon and absorbing Kodiak while flattening management layers could disrupt local contractor relationships that drive the majority of distribution revenue in this relationship-intensive industry [4]</w:t>
      </w:r>
    </w:p>
    <w:p>
      <w:pPr>
        <w:spacing w:before="40" w:after="40"/>
        <w:ind w:left="283"/>
      </w:pPr>
      <w:r>
        <w:rPr>
          <w:rFonts w:ascii="Calibri" w:hAnsi="Calibri"/>
          <w:b/>
          <w:color w:val="4A6B25"/>
          <w:sz w:val="20"/>
        </w:rPr>
        <w:t xml:space="preserve">2. </w:t>
      </w:r>
      <w:r>
        <w:rPr>
          <w:rFonts w:ascii="Calibri" w:hAnsi="Calibri"/>
          <w:b w:val="0"/>
          <w:color w:val="3A4A28"/>
          <w:sz w:val="20"/>
        </w:rPr>
        <w:t>Cyclical exposure to housing starts and commercial construction activity, with building products demand highly correlated to new residential construction and re-roofing cycles sensitive to interest rates and economic conditions [6]</w:t>
      </w:r>
    </w:p>
    <w:p>
      <w:pPr>
        <w:spacing w:before="40" w:after="40"/>
        <w:ind w:left="283"/>
      </w:pPr>
      <w:r>
        <w:rPr>
          <w:rFonts w:ascii="Calibri" w:hAnsi="Calibri"/>
          <w:b/>
          <w:color w:val="4A6B25"/>
          <w:sz w:val="20"/>
        </w:rPr>
        <w:t xml:space="preserve">3. </w:t>
      </w:r>
      <w:r>
        <w:rPr>
          <w:rFonts w:ascii="Calibri" w:hAnsi="Calibri"/>
          <w:b w:val="0"/>
          <w:color w:val="3A4A28"/>
          <w:sz w:val="20"/>
        </w:rPr>
        <w:t>Acquisition dependency — the $50B revenue target requires $35B+ in additional acquisitions at increasingly competitive multiples, and capital markets access at favorable terms is not guaranteed through multiple economic cycles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Physical distribution of building products — roofing, waterproofing, siding — requires local warehouses, truck fleets, and contractor relationships that AI structurally cannot replace [3][4]. The value-add in building products distribution (job-site delivery, credit extension, technical product knowledge) depends on physical infrastructure and human relationships. Analysts have not flagged AI as a substitution risk for building products distributors. However, AI-enabled procurement platforms could eventually streamline the contractor-manufacturer interface, compressing distributor margins. Jacobs himself acknowledged that 'every single industry will be completely disrupted' by AI, though he positioned distribution as a relatively safe sector compared to AI-native businesses [5]. AI Opportunity (0/1): QXO uses AI internally for pricing optimization and sales lead prioritization but does not generate revenue from AI products or services sold to external customers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QXO Q2 FY2026 Earnings Release — $3.25B Net Sales (+70% YoY), Adjusted EBITDA $272M, GAAP Loss $0.14/share, H1 Net Sales $4.98B —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QXO Q1 FY2026 Earnings Release — $1.73B Revenue, Loss of $0.12/share — SEC Form 8-K, May 2026</w:t>
      </w:r>
    </w:p>
    <w:p>
      <w:pPr>
        <w:spacing w:before="20" w:after="20"/>
        <w:ind w:left="170"/>
      </w:pPr>
      <w:r>
        <w:rPr>
          <w:rFonts w:ascii="Calibri" w:hAnsi="Calibri"/>
          <w:b/>
          <w:color w:val="4A6B25"/>
          <w:sz w:val="15"/>
        </w:rPr>
        <w:t xml:space="preserve">3. </w:t>
      </w:r>
      <w:r>
        <w:rPr>
          <w:rFonts w:ascii="Calibri" w:hAnsi="Calibri"/>
          <w:b w:val="0"/>
          <w:color w:val="3A4A28"/>
          <w:sz w:val="17"/>
        </w:rPr>
        <w:t>Distribution Strategy Group — 'CEO Brad Jacobs Lays Out a $50 Billion Vision for QXO,' April 2025; QXO Post-Beacon Overhaul and Growth Strategy, 2026</w:t>
      </w:r>
    </w:p>
    <w:p>
      <w:pPr>
        <w:spacing w:before="20" w:after="20"/>
        <w:ind w:left="170"/>
      </w:pPr>
      <w:r>
        <w:rPr>
          <w:rFonts w:ascii="Calibri" w:hAnsi="Calibri"/>
          <w:b/>
          <w:color w:val="4A6B25"/>
          <w:sz w:val="15"/>
        </w:rPr>
        <w:t xml:space="preserve">4. </w:t>
      </w:r>
      <w:r>
        <w:rPr>
          <w:rFonts w:ascii="Calibri" w:hAnsi="Calibri"/>
          <w:b w:val="0"/>
          <w:color w:val="3A4A28"/>
          <w:sz w:val="17"/>
        </w:rPr>
        <w:t>ENR / TED Magazine — Brad Jacobs interviews on AI-driven pricing, agentic AI sales tools, and distribution technology deployment, 2025-2026</w:t>
      </w:r>
    </w:p>
    <w:p>
      <w:pPr>
        <w:spacing w:before="20" w:after="20"/>
        <w:ind w:left="170"/>
      </w:pPr>
      <w:r>
        <w:rPr>
          <w:rFonts w:ascii="Calibri" w:hAnsi="Calibri"/>
          <w:b/>
          <w:color w:val="4A6B25"/>
          <w:sz w:val="15"/>
        </w:rPr>
        <w:t xml:space="preserve">5. </w:t>
      </w:r>
      <w:r>
        <w:rPr>
          <w:rFonts w:ascii="Calibri" w:hAnsi="Calibri"/>
          <w:b w:val="0"/>
          <w:color w:val="3A4A28"/>
          <w:sz w:val="17"/>
        </w:rPr>
        <w:t>CUNY Covering Companies — 'As AI Cools, Brad Jacobs' QXO Heats Up With a Back-to-Basics Roll-Up Strategy,' December 2025; Brad Jacobs Wikipedia biography — serial entrepreneur track record</w:t>
      </w:r>
    </w:p>
    <w:p>
      <w:pPr>
        <w:spacing w:before="20" w:after="20"/>
        <w:ind w:left="170"/>
      </w:pPr>
      <w:r>
        <w:rPr>
          <w:rFonts w:ascii="Calibri" w:hAnsi="Calibri"/>
          <w:b/>
          <w:color w:val="4A6B25"/>
          <w:sz w:val="15"/>
        </w:rPr>
        <w:t xml:space="preserve">6. </w:t>
      </w:r>
      <w:r>
        <w:rPr>
          <w:rFonts w:ascii="Calibri" w:hAnsi="Calibri"/>
          <w:b w:val="0"/>
          <w:color w:val="3A4A28"/>
          <w:sz w:val="17"/>
        </w:rPr>
        <w:t>Yahoo Finance — QXO key statistics: Price $11.18, Forward P/E 20.28, PEG 0.81, D/E 57%, ROE -4.6%, Avg Volume 19.4M,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