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w:t>
      </w:r>
      <w:r>
        <w:rPr>
          <w:rFonts w:ascii="Calibri" w:hAnsi="Calibri"/>
          <w:b/>
          <w:color w:val="1A2010"/>
          <w:sz w:val="40"/>
        </w:rPr>
        <w:t xml:space="preserve">  Qnity Electronics, Inc.</w:t>
      </w:r>
    </w:p>
    <w:p>
      <w:pPr>
        <w:spacing w:after="120"/>
      </w:pPr>
      <w:r>
        <w:rPr>
          <w:rFonts w:ascii="Calibri" w:hAnsi="Calibri"/>
          <w:b/>
          <w:color w:val="6E8450"/>
          <w:sz w:val="18"/>
        </w:rPr>
        <w:t>GROWTH SLEEVE · 2026-09-09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NYSE · United States</w:t>
      </w:r>
    </w:p>
    <w:p>
      <w:pPr>
        <w:spacing w:after="80"/>
      </w:pPr>
      <w:r>
        <w:rPr>
          <w:rFonts w:ascii="Calibri" w:hAnsi="Calibri"/>
          <w:b w:val="0"/>
          <w:color w:val="3A4A28"/>
          <w:sz w:val="20"/>
        </w:rPr>
        <w:t>Qnity Electronics is a premier semiconductor materials and technology provider, separated from DuPont de Nemours on November 1, 2025 and trading on the NYSE as an S&amp;P 500 member. The company operates through two segments: Semiconductor Technologies (CMP pads and slurries, photoresists, advanced overcoats, post-CMP cleaners) and Interconnect Solutions (copper pillar plating, redistribution layers, solder bump plating, packaging dielectrics, thermal interface materials). With 39 manufacturing sites and 17 R&amp;D facilities serving customers in 80+ countries, Qnity enables advanced semiconductor manufacturing for AI, HPC, and connectivity applications. Q2 2026 revenue was $1.43B (+22% YoY) with adjusted EPS of $1.19 (+53% YoY), and full-year 2026 guidance was raised to $5.55-$5.65B revenue.</w:t>
      </w:r>
    </w:p>
    <w:p>
      <w:r>
        <w:rPr>
          <w:rFonts w:ascii="Calibri" w:hAnsi="Calibri"/>
          <w:b/>
          <w:color w:val="6E8450"/>
          <w:sz w:val="18"/>
        </w:rPr>
        <w:t>10,000 Employees · https://www.qnityelectronics.com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Qnity has delivered nine consecutive quarters of strong organic growth, with Q2 2026 revenue surging 22% YoY to $1.43B and adjusted EPS growing 53% to $1.19, crushing analyst estimates by 83% [1][2]. The successful separation from DuPont on November 1, 2025 was a complex carve-out executed smoothly, immediately joining the S&amp;P 500 [3]. Revenue has compounded at approximately 12% annually over five years (pro-forma), driven by leading positions in critical semiconductor materials. However, as an independent company less than a year old, the long-term operational track record under current management is still being established. AI Deployment (1/2): Qnity is an AI enabler rather than an AI deployer — its materials (CMP pads, photoresists, advanced packaging materials) are essential components in manufacturing AI chips for NVIDIA, AMD, and other chipmakers. The company's products directly enable advanced semiconductor nodes where AI workloads are processed [3]. However, there is limited evidence of Qnity using AI to optimize its own manufacturing or R&amp;D processes at scale. Market Share (2/2): Qnity holds leading market positions in CMP pads and slurries, photoresists, and advanced packaging materials — critical consumables with high switching costs in semiconductor fabrication. These materials require extensive qualification cycles (6-18 months), creating sticky customer relationships with the world's largest foundries and IDMs [1]. Product Pipeline (1/2): The company operates 17 R&amp;D facilities globally, investing in next-generation materials for advanced semiconductor nodes (sub-3nm) and advanced packaging technologies (chiplets, 3D stacking) that are critical to AI chip performance [3]. However, specific named product launches with revenue projections are not publicly disclosed. R&amp;D Intensity (1/1): Seventeen dedicated R&amp;D facilities across the globe reflect substantial materials science R&amp;D investment appropriate for a technology-driven specialty materials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Qnity's purpose — advancing next-generation technologies that power AI, high-performance computing, and advanced connectivity — is specific to its domain and connects the company's work to the broader technology ecosystem that society depends on [3]. Core values were deliberately developed through employee feedback to shape a culture of 'nimble decision-making and bold leadership,' reflecting thoughtful organizational design for a newly independent company. However, the mission is fundamentally B2B and technology-functional, lacking the human-centered aspirational quality that drives broad stakeholder commitment. Community Impact (1/2): Qnity inherits DuPont's ESG legacy, including established environmental and safety programs across its 39 manufacturing sites. The company operates chemical manufacturing facilities subject to significant environmental regulation, and the DuPont heritage includes institutional experience with responsible manufacturing practices. However, as a newly independent company, Qnity has not yet published its own ESG report or community impact framework. Employee Retention (1/2): The company employs approximately 10,000 people globally, inheriting an experienced workforce from DuPont with deep materials science expertise. The deliberate creation of new core values through employee feedback suggests proactive culture-building during the transition [3]. Insider Buying (0/2): No evidence of meaningful insider buying identified; the company is less than a year old as a public independent entity.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Qnity's strongest infrastructure signals are revenue growth — 22% YoY in Q2 2026 and an estimated 5-year pro-forma CAGR of approximately 12%, both exceeding the 10% targets [1][2]. D/E of 61% is within the 70% target, reflecting manageable leverage post-separation from DuPont. The primary drags are the premium valuation (forward P/E of 38.81x, well above the 20x target) and a high PEG ratio of 2.82 (near the 3.0 floor, scoring only 0.09 with 2x weight), which together indicate the market has priced in significant future growth [4]. ROE of 7.48% is positive but below the 15% target (scoring 0.50 with 2x weight), reflecting the company's early-stage profitability as an independent entity. Profit margin of 13.1% is solid but below the 20% target. The company easily clears the liquidity floor with approximately $407M in estimated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Qnity Electronics is less than a year old as an independent company, making infinite game assessment inherently preliminary. The separation from DuPont was a bold strategic move that positions the company to focus exclusively on semiconductor materials — a decision that reflects long-term thinking about where value creation lies in the technology ecosystem [3]. However, the company is still establishing its independent identity, culture, and strategic vision. CEO Jon Kemp inherited a business built within DuPont's conglomerate structure and must now prove that independence creates more value than the resources of a diversified parent. The deliberate culture-building (new core values, employee-driven feedback) suggests intent to play an infinite game, but execution is too early to evaluate.</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'Advancing next-generation technologies with curiosity, collaboration, speed, and purpose' describes a desirable operating culture but does not articulate a cause that transcends the company's commercial interests [3]. The implicit cause — enabling the semiconductor ecosystem that powers AI, computing, and connectivity for humanity — is meaningful but has not been explicitly articulated at the leadership level as a driving purpose beyond shareholder value creation. The company is less than a year old as an independent entity and is still forming its institutional identity.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Qnity deliberately solicited employee feedback to develop new core values, suggesting genuine intent to build an inclusive, trust-based culture as an independent company [3]. The 10,000-person workforce inherits deep materials science expertise and institutional knowledge from DuPont's decades-long electronics business. However, the separation process itself creates organizational uncertainty — new reporting structures, new compensation frameworks, and the psychological transition from being part of a conglomerate to a standalone company all strain team cohesion during the transition period.</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Qnity competes with established semiconductor materials providers including Entegris, JSR, Shin-Etsu Chemical, and Fujifilm in photoresists and CMP materials. As a newly independent company, Qnity's competitive posture is still being established. The decision to separate from DuPont suggests confidence in competing as a focused pure-play rather than relying on conglomerate diversification — a form of competitive self-awareness about where the company can win.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separation from DuPont is itself an act of existential flexibility — transforming from a division within a diversified conglomerate into an independent, publicly traded pure-play semiconductor materials company [3]. This required building independent corporate functions, establishing a new brand, and accepting the risks of standalone operation. However, the company has not yet faced a crisis or strategic inflection point as an independent entity, so its capacity for further existential adaptation is untested.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separation from DuPont required leadership courage — CEO Jon Kemp led the carve-out of a $5B+ revenue business into an independent S&amp;P 500 company, accepting the operational complexity of building corporate infrastructure while maintaining customer relationships and growth momentum [3]. The immediate S&amp;P 500 inclusion and raised guidance post-separation demonstrate strong execution under uncertainty. However, the company's strategy (focus on existing markets with existing products) has not yet required a truly contrarian or costly long-term bet that tests leadership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Qnity Electronics at 38.81x forward earnings is a high-quality semiconductor materials pure-play riding the AI infrastructure buildout — Q2 2026 revenue of $1.43B (+22% YoY) with adjusted EPS of $1.19 (+53% YoY, crushing estimates by 83%) demonstrates the company's direct exposure to AI chip demand [1][2]. Full-year 2026 guidance was raised to $5.55-$5.65B revenue with $4.40-$4.60 adjusted EPS, reflecting management confidence in sustained AI-driven demand. Qnity's materials (CMP pads, photoresists, advanced packaging) are irreplaceable inputs to semiconductor fabrication with high switching costs and 6-18 month qualification cycles that create sticky customer relationships. The Interconnect Solutions segment is particularly well-positioned as AI chips increasingly adopt advanced packaging architectures (chiplets, 3D stacking) that consume more materials per wafer. As a newly independent S&amp;P 500 member, Qnity benefits from index inclusion flows and pure-play investor interest that was not available as a DuPont division.</w:t>
      </w:r>
    </w:p>
    <w:p>
      <w:pPr>
        <w:spacing w:after="120"/>
      </w:pPr>
      <w:r>
        <w:rPr>
          <w:rFonts w:ascii="Calibri" w:hAnsi="Calibri"/>
          <w:b w:val="0"/>
          <w:color w:val="3A4A28"/>
          <w:sz w:val="20"/>
        </w:rPr>
        <w:t>The bear case centers on valuation, cyclicality, and execution risk. Forward P/E of 38.81x and PEG of 2.82 price in substantial continued growth, and any deceleration in AI chip spending or semiconductor inventory correction could trigger meaningful multiple compression [4]. The semiconductor industry is historically cyclical, and while AI provides a structural growth overlay, near-term demand fluctuations are inevitable — the nine consecutive quarters of growth create complacency risk. ROE of 7.48% and profit margin of 13.1% are adequate but not exceptional for a materials company, suggesting that premium valuation relies more on growth expectations than current profitability [4]. As a newly independent company (separated November 2025), Qnity is still building standalone corporate infrastructure, and the transition carries execution risk around ERP systems, procurement, and talent retention. Competition from Entegris, JSR, Shin-Etsu, and emerging Chinese materials suppliers creates pricing pressure. The Inspire Impact Score of 0 (MIXED) reflects insufficient coverage data for a newly public entity rather than positive or negative alignment signals.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chip demand acceleration as hyperscalers (Microsoft, Google, Amazon, Meta) expand capital expenditure on AI infrastructure, directly increasing consumption of Qnity's semiconductor materials — Q2 2026 revenue growth of 22% demonstrates this tailwind [1]</w:t>
      </w:r>
    </w:p>
    <w:p>
      <w:pPr>
        <w:spacing w:before="40" w:after="40"/>
        <w:ind w:left="283"/>
      </w:pPr>
      <w:r>
        <w:rPr>
          <w:rFonts w:ascii="Calibri" w:hAnsi="Calibri"/>
          <w:b/>
          <w:color w:val="4A6B25"/>
          <w:sz w:val="20"/>
        </w:rPr>
        <w:t xml:space="preserve">2. </w:t>
      </w:r>
      <w:r>
        <w:rPr>
          <w:rFonts w:ascii="Calibri" w:hAnsi="Calibri"/>
          <w:b w:val="0"/>
          <w:color w:val="3A4A28"/>
          <w:sz w:val="20"/>
        </w:rPr>
        <w:t>Advanced packaging revenue growth as AI chips transition to chiplet architectures and 3D stacking (CoWoS, SoIC), consuming 2-5x more interconnect materials per chip versus traditional packaging — the Interconnect Solutions segment is purpose-built for this trend [3]</w:t>
      </w:r>
    </w:p>
    <w:p>
      <w:pPr>
        <w:spacing w:before="40" w:after="40"/>
        <w:ind w:left="283"/>
      </w:pPr>
      <w:r>
        <w:rPr>
          <w:rFonts w:ascii="Calibri" w:hAnsi="Calibri"/>
          <w:b/>
          <w:color w:val="4A6B25"/>
          <w:sz w:val="20"/>
        </w:rPr>
        <w:t xml:space="preserve">3. </w:t>
      </w:r>
      <w:r>
        <w:rPr>
          <w:rFonts w:ascii="Calibri" w:hAnsi="Calibri"/>
          <w:b w:val="0"/>
          <w:color w:val="3A4A28"/>
          <w:sz w:val="20"/>
        </w:rPr>
        <w:t>Margin expansion from operating leverage as a newly independent company optimizes its cost structure — adjusted operating EBITDA margin is already improving (24% growth in EBITDA on 22% revenue growth), and the company targets further efficiency gains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Semiconductor cycle downturn could compress demand for materials even if long-term AI trends remain intact — a 2023-style inventory correction would pressure revenue growth and the premium valuation multiple [4]</w:t>
      </w:r>
    </w:p>
    <w:p>
      <w:pPr>
        <w:spacing w:before="40" w:after="40"/>
        <w:ind w:left="283"/>
      </w:pPr>
      <w:r>
        <w:rPr>
          <w:rFonts w:ascii="Calibri" w:hAnsi="Calibri"/>
          <w:b/>
          <w:color w:val="4A6B25"/>
          <w:sz w:val="20"/>
        </w:rPr>
        <w:t xml:space="preserve">2. </w:t>
      </w:r>
      <w:r>
        <w:rPr>
          <w:rFonts w:ascii="Calibri" w:hAnsi="Calibri"/>
          <w:b w:val="0"/>
          <w:color w:val="3A4A28"/>
          <w:sz w:val="20"/>
        </w:rPr>
        <w:t>Premium valuation of 38.81x forward P/E and 2.82 PEG leaves minimal margin of safety — any growth deceleration below the 20%+ currently implied could trigger significant multiple compression [4]</w:t>
      </w:r>
    </w:p>
    <w:p>
      <w:pPr>
        <w:spacing w:before="40" w:after="40"/>
        <w:ind w:left="283"/>
      </w:pPr>
      <w:r>
        <w:rPr>
          <w:rFonts w:ascii="Calibri" w:hAnsi="Calibri"/>
          <w:b/>
          <w:color w:val="4A6B25"/>
          <w:sz w:val="20"/>
        </w:rPr>
        <w:t xml:space="preserve">3. </w:t>
      </w:r>
      <w:r>
        <w:rPr>
          <w:rFonts w:ascii="Calibri" w:hAnsi="Calibri"/>
          <w:b w:val="0"/>
          <w:color w:val="3A4A28"/>
          <w:sz w:val="20"/>
        </w:rPr>
        <w:t>Execution risk from DuPont separation as the company builds standalone IT infrastructure, procurement systems, and corporate functions while maintaining growth momentum — newly independent companies face operational distractions during the first 12-18 months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Qnity's business is structurally protected from AI disruption and is in fact a primary beneficiary of AI adoption. The company manufactures critical semiconductor materials (CMP pads, slurries, photoresists, advanced packaging materials) that are essential inputs to every AI chip fabricated globally — there is no AI without the physical materials that enable semiconductor manufacturing [1][3]. These materials require deep materials science expertise, extensive qualification cycles with customers, and complex chemical manufacturing processes that AI cannot replicate or disrupt. The physical nature of semiconductor materials creates an irreplaceable role in the value chain. However, the company faces competitive risk from established materials peers (Entegris, JSR, Shin-Etsu Chemical) and is exposed to semiconductor cycle downturns that could temporarily compress demand regardless of long-term AI tailwinds. Customer concentration in a handful of large foundries and IDMs creates key-customer risk. AI Opportunity (1/1): AI is Qnity's primary growth catalyst — the company's Q2 2026 revenue surge of 22% YoY was driven substantially by demand for advanced semiconductor materials used in AI chip manufacturing [1]. Management explicitly positions Qnity as 'empowering AI' and has raised full-year guidance partly on the strength of AI-driven demand [2]. Advanced packaging materials (Interconnect Solutions segment) are particularly well-positioned as AI chips increasingly use chiplet architectures and 3D stacking that consume more materials per wafer.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Qnity Electronics Q2 2026 Earnings Release — Revenue $1.43B (+22% YoY), Adjusted EPS $1.19 (+53% YoY, 83% beat), Adjusted Operating EBITDA $431M (+24%), July 2026</w:t>
      </w:r>
    </w:p>
    <w:p>
      <w:pPr>
        <w:spacing w:before="20" w:after="20"/>
        <w:ind w:left="170"/>
      </w:pPr>
      <w:r>
        <w:rPr>
          <w:rFonts w:ascii="Calibri" w:hAnsi="Calibri"/>
          <w:b/>
          <w:color w:val="4A6B25"/>
          <w:sz w:val="15"/>
        </w:rPr>
        <w:t xml:space="preserve">2. </w:t>
      </w:r>
      <w:r>
        <w:rPr>
          <w:rFonts w:ascii="Calibri" w:hAnsi="Calibri"/>
          <w:b w:val="0"/>
          <w:color w:val="3A4A28"/>
          <w:sz w:val="17"/>
        </w:rPr>
        <w:t>Qnity Electronics Q1 2026 Earnings Release — Revenue $1.32B (+17.6% YoY), Adjusted EPS $1.08 (+33% YoY), Full-Year Guidance Raised to $5.55-5.65B Revenue, May 2026</w:t>
      </w:r>
    </w:p>
    <w:p>
      <w:pPr>
        <w:spacing w:before="20" w:after="20"/>
        <w:ind w:left="170"/>
      </w:pPr>
      <w:r>
        <w:rPr>
          <w:rFonts w:ascii="Calibri" w:hAnsi="Calibri"/>
          <w:b/>
          <w:color w:val="4A6B25"/>
          <w:sz w:val="15"/>
        </w:rPr>
        <w:t xml:space="preserve">3. </w:t>
      </w:r>
      <w:r>
        <w:rPr>
          <w:rFonts w:ascii="Calibri" w:hAnsi="Calibri"/>
          <w:b w:val="0"/>
          <w:color w:val="3A4A28"/>
          <w:sz w:val="17"/>
        </w:rPr>
        <w:t>Qnity Electronics Company Launch — Separated from DuPont Nov 1 2025, S&amp;P 500 Member, CEO Jon Kemp, 10,000 Employees, 39 Manufacturing Sites, BusinessWire/Lippincott, 2025</w:t>
      </w:r>
    </w:p>
    <w:p>
      <w:pPr>
        <w:spacing w:before="20" w:after="20"/>
        <w:ind w:left="170"/>
      </w:pPr>
      <w:r>
        <w:rPr>
          <w:rFonts w:ascii="Calibri" w:hAnsi="Calibri"/>
          <w:b/>
          <w:color w:val="4A6B25"/>
          <w:sz w:val="15"/>
        </w:rPr>
        <w:t xml:space="preserve">4. </w:t>
      </w:r>
      <w:r>
        <w:rPr>
          <w:rFonts w:ascii="Calibri" w:hAnsi="Calibri"/>
          <w:b w:val="0"/>
          <w:color w:val="3A4A28"/>
          <w:sz w:val="17"/>
        </w:rPr>
        <w:t>StockAnalysis, Investing.com, Yahoo Finance — Q Key Statistics: Forward P/E 38.81, PEG 2.82, D/E 61%, ROE 7.48%, Stock Price $135.60, Market Cap ~$30B,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