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RAL</w:t>
      </w:r>
      <w:r>
        <w:rPr>
          <w:rFonts w:ascii="Calibri" w:hAnsi="Calibri"/>
          <w:b/>
          <w:color w:val="1A2010"/>
          <w:sz w:val="40"/>
        </w:rPr>
        <w:t xml:space="preserve">  Ralliant Corporation</w:t>
      </w:r>
    </w:p>
    <w:p>
      <w:pPr>
        <w:spacing w:after="120"/>
      </w:pPr>
      <w:r>
        <w:rPr>
          <w:rFonts w:ascii="Calibri" w:hAnsi="Calibri"/>
          <w:b/>
          <w:color w:val="6E8450"/>
          <w:sz w:val="18"/>
        </w:rPr>
        <w:t>GROWTH SLEEVE · 2026-09-15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NYSE · United States</w:t>
      </w:r>
    </w:p>
    <w:p>
      <w:pPr>
        <w:spacing w:after="80"/>
      </w:pPr>
      <w:r>
        <w:rPr>
          <w:rFonts w:ascii="Calibri" w:hAnsi="Calibri"/>
          <w:b w:val="0"/>
          <w:color w:val="3A4A28"/>
          <w:sz w:val="20"/>
        </w:rPr>
        <w:t>Ralliant Corporation designs, develops, manufactures, and services precision instruments and engineered products across two segments: Test &amp; Measurement (Tektronix oscilloscopes, Keithley source measure units, EA Electro-Automatik power supplies) and Sensors &amp; Safety Systems (Qualitrol power grid monitoring, Gems Sensors, Pacific Scientific Energetic Materials for defense/space). Spun off from Fortive Corporation in June 2025, headquartered in Raleigh, NC. Q2 2026 revenue of $568M grew 13% YoY with raised full-year guidance of $2.25-$2.3B revenue and $2.76-$2.90 adjusted EPS.</w:t>
      </w:r>
    </w:p>
    <w:p>
      <w:r>
        <w:rPr>
          <w:rFonts w:ascii="Calibri" w:hAnsi="Calibri"/>
          <w:b/>
          <w:color w:val="6E8450"/>
          <w:sz w:val="18"/>
        </w:rPr>
        <w:t>7,000 Employees · https://ralliant.com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Ralliant has executed accelerating organic growth since its June 2025 separation from Fortive — Q1 2026 revenue grew 11% YoY, Q2 2026 accelerated to 13% ($568M), and full-year guidance has been raised twice to $2.25-$2.3B revenue [1]. The Sensors &amp; Safety segment posted approximately 28% operating margins while Test &amp; Measurement returned to positive profitability, validating the strategic focus on high-growth end markets [1]. AI Deployment (1/2): Ralliant has established an AI Governance Committee and is integrating AI into products, operations, and talent strategy through AI-powered continuous listening programs and business process automation [2]. No specific AI-driven revenue or quantified cost savings have been reported. Market Share (2/2): Tektronix is a globally recognized category leader in test and measurement instrumentation with 75+ years of heritage, holding leadership positions in oscilloscopes and precision measurement tools used across semiconductor, communications, and defense engineering [2][3]. Keithley Instruments maintains a strong position in semiconductor characterization. Product Pipeline (1/2): New Tektronix platforms targeting data center and AI infrastructure testing have been deployed, and the Enterprise Productivity Program targets $50-60M in annualized run-rate savings by 2028 [1]. R&amp;D Intensity (1/1): Gross margins of 50.9% in a precision technology business indicate significant R&amp;D reinvestment; the company operates in inherently technology-intensive markets requiring continuous product development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Ralliant's stated purpose — 'precision technologies create the confidence to break through every day' — connects measurement and sensing to enabling scientific and engineering breakthroughs across critical industries [2]. The articulation is specific and thoughtful, but has been tested for only 15 months as an independent entity and has not been validated through market cycles or leadership transitions. Community Impact (0/2): As a newly independent company, no specific charitable programs, foundation, or community investment initiatives with measurable dollar amounts were identified [2]. Employee Retention (1/2): Glassdoor reviews cite 'Good Leadership at Senior level' and 'Excellent work culture' with an inclusive, collaborative environment built on the Ralliant Business System culture [2]. However, the sample is limited given the short independent history. Insider Buying (0/2): No meaningful net insider buying was identified. Insider ownership is primarily from the Fortive distribution and executive compensation grants, with no open-market purchases found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adjusted operating metrics; trailing GAAP ROE (-53.9%) and profit margin (-56.4%) are excluded as non-representative due to one-time spinoff accounting charges from the June 2025 Fortive separation [1][3]. D/E of 79.8% slightly exceeds the 70% target with $1.22B debt against $271M cash, scoring 0.96 [3]. Adjusted ROE of approximately 20% (based on ~$313M annualized adjusted net income on ~$1.53B book equity) exceeds the 15% target, scoring 1.0 at 2x weight [1][3]. Revenue growth YoY of 12.8% exceeds the 10% target, scoring 1.0 [1]. Forward P/E of 19.6 is just below the 20 target, scoring 1.0 [3]. Adjusted profit margin of approximately 13.5% (based on $2.83 midpoint adjusted EPS on $2.275B guided revenue) scores 0.68 [1]. PEG ratio and 5yr revenue CAGR unavailable due to recent spinoff and excluded. Weighted sum 5.63 / max 6.0 = 9.4, rounded to 9. Liquidity floor easily cleared at ~$103M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Ralliant demonstrates genuine infinite game characteristics through its articulated purpose connecting precision technology to enabling human breakthroughs, and its 150+ years of operating heritage through Tektronix and other legacy brands. The separation from Fortive was a strategic bet on focused execution over conglomerate scale, and raising guidance twice signals long-term confidence. However, the company has been independent for only 15 months, providing insufficient history to evaluate whether this purpose will endure through market cycles and leadership transitions. Sinek would acknowledge the thoughtful purpose but withhold judgment until it survives its first real test.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Ralliant's purpose — 'precision technologies create the confidence to break through every day' — is genuine and distinctive, connecting measurement accuracy to enabling scientific and engineering breakthroughs [2]. Tektronix instruments have genuinely enabled decades of advances in semiconductor design, communications, and defense technology. However, this purpose has been articulated for only 15 months as an independent company and has not been tested through crisis, leadership transition,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Ralliant's culture is anchored in the Ralliant Business System emphasizing continuous improvement and simplicity [2]. Glassdoor reviews cite good senior leadership and excellent work culture with an emphasis on inclusivity and collaboration. However, the company is adjusting 7,000 employees to a new organizational identity after the Fortive separation, and no specific data on employee tenure or voluntary turnover is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Ralliant competes with Keysight Technologies, National Instruments (now Emerson), and Amphenol in sensors. The company's competitive language focuses on enabling customer breakthroughs and delivering precision rather than defeating specific competitors [2]. The strategic framing centers on creating confidence for innovators, not capturing share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separation from Fortive represents meaningful strategic flexibility — choosing to become an independent, focused precision technology company rather than remaining part of a diversified conglomerate [3]. The strategic repositioning toward data center infrastructure, physical AI, and defense end markets represents adaptive positioning beyond legacy applications. However, the core precision instruments business remains fundamentally the same product set.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Leadership demonstrated confidence by raising full-year guidance twice — after Q1 and again after Q2 2026 — while simultaneously investing in the Enterprise Productivity Program targeting $50-60M in annualized savings by 2028 [1]. Taking on $1.22B in standalone debt and building independent corporate functions required operational conviction. However, these are standard corporate actions for a spinoff and have not yet been tested through an economic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Ralliant delivered accelerating growth through its first full year of independence — Q2 2026 revenue of $568M grew 13% YoY (vs. Q1's 11%), adjusted EPS was $0.68, and full-year guidance was raised to $2.25-$2.3B revenue and $2.76-$2.90 adjusted EPS [1]. The Sensors &amp; Safety segment achieved 28% operating margins while Test &amp; Measurement returned to positive profitability, and adjusted EBITDA margin guidance of 20-21% reflects the underlying earnings power obscured by one-time spinoff charges [1]. At 19.6x forward adjusted earnings with 50.9% gross margins and $334M free cash flow, valuation is reasonable for a precision technology leader positioned in data center infrastructure testing, AI workload monitoring, defense sensing, and power grid resilience [3]. Tektronix's 75+ year brand heritage and category leadership in test and measurement provide deep customer trust and switching costs.</w:t>
      </w:r>
    </w:p>
    <w:p>
      <w:pPr>
        <w:spacing w:after="120"/>
      </w:pPr>
      <w:r>
        <w:rPr>
          <w:rFonts w:ascii="Calibri" w:hAnsi="Calibri"/>
          <w:b w:val="0"/>
          <w:color w:val="3A4A28"/>
          <w:sz w:val="20"/>
        </w:rPr>
        <w:t>The bear case centers on Ralliant's limited track record and financial complexity as a recent spinoff. Trailing GAAP metrics are deeply distorted — ROE of -53.9% and net margin of -56.4% from spinoff charges — creating uncertainty about the normalized earnings profile and making it difficult for investors to assess intrinsic value [3]. D/E of 79.8% with $1.22B debt against $271M cash is moderate but leaves limited financial flexibility if semiconductor or industrial end markets soften cyclically [3]. The company has no 5-year financial history, PEG ratio, or long-term track record for investors to analyze. The 0.3% dividend yield provides no income support, and the stock lacks the institutional following of larger T&amp;M competitors like Keysight Technologies ($5.5B revenue). Any deceleration from the 13% growth rate could compress the multiple quickly, and the Enterprise Productivity Program's $50-60M savings target remains unproven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organic revenue growth — Q2 2026 grew 13% vs. Q1's 11% — with raised guidance suggesting sustained momentum across semiconductor test, power grid monitoring, and defense/space applications [1]</w:t>
      </w:r>
    </w:p>
    <w:p>
      <w:pPr>
        <w:spacing w:before="40" w:after="40"/>
        <w:ind w:left="283"/>
      </w:pPr>
      <w:r>
        <w:rPr>
          <w:rFonts w:ascii="Calibri" w:hAnsi="Calibri"/>
          <w:b/>
          <w:color w:val="4A6B25"/>
          <w:sz w:val="20"/>
        </w:rPr>
        <w:t xml:space="preserve">2. </w:t>
      </w:r>
      <w:r>
        <w:rPr>
          <w:rFonts w:ascii="Calibri" w:hAnsi="Calibri"/>
          <w:b w:val="0"/>
          <w:color w:val="3A4A28"/>
          <w:sz w:val="20"/>
        </w:rPr>
        <w:t>Margin expansion as spinoff charges roll off and Enterprise Productivity Program delivers $50-60M annualized savings by 2028, driving adjusted EBITDA margins above the guided 20-21% range [1]</w:t>
      </w:r>
    </w:p>
    <w:p>
      <w:pPr>
        <w:spacing w:before="40" w:after="40"/>
        <w:ind w:left="283"/>
      </w:pPr>
      <w:r>
        <w:rPr>
          <w:rFonts w:ascii="Calibri" w:hAnsi="Calibri"/>
          <w:b/>
          <w:color w:val="4A6B25"/>
          <w:sz w:val="20"/>
        </w:rPr>
        <w:t xml:space="preserve">3. </w:t>
      </w:r>
      <w:r>
        <w:rPr>
          <w:rFonts w:ascii="Calibri" w:hAnsi="Calibri"/>
          <w:b w:val="0"/>
          <w:color w:val="3A4A28"/>
          <w:sz w:val="20"/>
        </w:rPr>
        <w:t>Data center and AI infrastructure investment cycle driving demand for Tektronix test platforms and Qualitrol power grid monitoring as hyperscalers expand capacity through 2028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Limited 15-month operating history as an independent company with no proven ability to navigate cyclical downturns in semiconductor capital spending or defense budgets without Fortive's diversification and capital resources [2][3]</w:t>
      </w:r>
    </w:p>
    <w:p>
      <w:pPr>
        <w:spacing w:before="40" w:after="40"/>
        <w:ind w:left="283"/>
      </w:pPr>
      <w:r>
        <w:rPr>
          <w:rFonts w:ascii="Calibri" w:hAnsi="Calibri"/>
          <w:b/>
          <w:color w:val="4A6B25"/>
          <w:sz w:val="20"/>
        </w:rPr>
        <w:t xml:space="preserve">2. </w:t>
      </w:r>
      <w:r>
        <w:rPr>
          <w:rFonts w:ascii="Calibri" w:hAnsi="Calibri"/>
          <w:b w:val="0"/>
          <w:color w:val="3A4A28"/>
          <w:sz w:val="20"/>
        </w:rPr>
        <w:t>Trailing GAAP metrics severely distorted by spinoff charges obscure the true financial profile; normalized D/E of 79.8% with $1.22B debt and $271M cash provides moderate but not conservative leverage [3]</w:t>
      </w:r>
    </w:p>
    <w:p>
      <w:pPr>
        <w:spacing w:before="40" w:after="40"/>
        <w:ind w:left="283"/>
      </w:pPr>
      <w:r>
        <w:rPr>
          <w:rFonts w:ascii="Calibri" w:hAnsi="Calibri"/>
          <w:b/>
          <w:color w:val="4A6B25"/>
          <w:sz w:val="20"/>
        </w:rPr>
        <w:t xml:space="preserve">3. </w:t>
      </w:r>
      <w:r>
        <w:rPr>
          <w:rFonts w:ascii="Calibri" w:hAnsi="Calibri"/>
          <w:b w:val="0"/>
          <w:color w:val="3A4A28"/>
          <w:sz w:val="20"/>
        </w:rPr>
        <w:t>Test &amp; Measurement segment faces indirect AI disruption risk as competitors like Keysight may incorporate AI into competing platforms more rapidly, and AI-driven semiconductor design tools could shift testing paradigms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Ralliant manufactures physical precision instruments — oscilloscopes, signal generators, industrial sensors, and pyrotechnic safety devices — that AI structurally cannot replace [2]. More critically, AI is a demand driver: data center buildout requires extensive testing and measurement infrastructure, power grid expansion for AI workloads needs Qualitrol grid resilience products, and AI-enabled defense systems require Pacific Scientific's precision sensing and safety technologies [1][2]. No analysts have identified AI substitution risk for Ralliant's physical product categories. The modest risk comes from competitors incorporating AI into competing test platforms more rapidly, as acknowledged in the company's 10-K risk factors [2]. AI Opportunity (0/1): While AI is being infused into internal operations and product development through the AI Governance Committee, no specific AI-related revenue figures have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Ralliant Corporation Q2 2026 Earnings Release — Revenue $568M (+13% YoY), Adjusted EPS $0.68, Net Margin 10.1%, Raised FY2026 Guidance to $2.25-$2.3B Revenue and $2.76-$2.90 Adjusted EPS, July 2026</w:t>
      </w:r>
    </w:p>
    <w:p>
      <w:pPr>
        <w:spacing w:before="20" w:after="20"/>
        <w:ind w:left="170"/>
      </w:pPr>
      <w:r>
        <w:rPr>
          <w:rFonts w:ascii="Calibri" w:hAnsi="Calibri"/>
          <w:b/>
          <w:color w:val="4A6B25"/>
          <w:sz w:val="15"/>
        </w:rPr>
        <w:t xml:space="preserve">2. </w:t>
      </w:r>
      <w:r>
        <w:rPr>
          <w:rFonts w:ascii="Calibri" w:hAnsi="Calibri"/>
          <w:b w:val="0"/>
          <w:color w:val="3A4A28"/>
          <w:sz w:val="17"/>
        </w:rPr>
        <w:t>Ralliant Corporation 10-K FY2025, Corporate Website, Glassdoor Reviews, AI Governance and Risk Disclosures, Leadership and Culture —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TradingView — RAL Financial Statistics: Stock Price $65.15, Forward P/E 19.6, D/E 79.8%, Market Cap $7.2B, FCF $334M,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