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RCI</w:t>
      </w:r>
      <w:r>
        <w:rPr>
          <w:rFonts w:ascii="Calibri" w:hAnsi="Calibri"/>
          <w:b/>
          <w:color w:val="1A2010"/>
          <w:sz w:val="40"/>
        </w:rPr>
        <w:t xml:space="preserve">  Rogers Communications Inc.</w:t>
      </w:r>
    </w:p>
    <w:p>
      <w:pPr>
        <w:spacing w:after="120"/>
      </w:pPr>
      <w:r>
        <w:rPr>
          <w:rFonts w:ascii="Calibri" w:hAnsi="Calibri"/>
          <w:b/>
          <w:color w:val="6E8450"/>
          <w:sz w:val="18"/>
        </w:rPr>
        <w:t>DIVIDEND SLEEVE · 2026-09-30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NYSE · Canada</w:t>
      </w:r>
    </w:p>
    <w:p>
      <w:pPr>
        <w:spacing w:after="80"/>
      </w:pPr>
      <w:r>
        <w:rPr>
          <w:rFonts w:ascii="Calibri" w:hAnsi="Calibri"/>
          <w:b w:val="0"/>
          <w:color w:val="3A4A28"/>
          <w:sz w:val="20"/>
        </w:rPr>
        <w:t>Rogers Communications is one of Canada's Big Three telecommunications companies, providing wireless, cable internet, television, and media services. The company operates Canada's largest cable network and a leading wireless network, along with a Sports and Media segment that includes the Toronto Blue Jays (MLB), Sportsnet, and other media properties. Rogers acquired Shaw Communications for C$26B in 2023, transforming it into Canada's largest cable provider. New CEO Ali El-Haj was appointed in May 2026, bringing 30+ years of international experience from the automotive and manufacturing industries. Q2 2026 delivered total revenue of C$5.62B (+7.7% YoY). Founded 1960, headquartered in Toronto.</w:t>
      </w:r>
    </w:p>
    <w:p>
      <w:r>
        <w:rPr>
          <w:rFonts w:ascii="Calibri" w:hAnsi="Calibri"/>
          <w:b/>
          <w:color w:val="6E8450"/>
          <w:sz w:val="18"/>
        </w:rPr>
        <w:t>25,000 Employees · https://www.rogers.com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C$26B Shaw Communications acquisition in 2023 was the largest telecom deal in Canadian history, transforming Rogers from a primarily Ontario/Atlantic-focused operator into a national cable and wireless powerhouse with Q2 2026 service revenue growing 8% YoY to C$5.06B [1]. The integration has been completed and synergies are accruing, though the deal was financed with $25B+ CAD in long-term debt. AI Deployment (0/2): Rogers announced a C$10B investment in AI and oversight infrastructure following the 2022 nationwide outage, but no specific AI-powered products are shipping to customers and no quantified AI-driven operational savings have been reported [2]. Standard telecom AI applications (network optimization, chatbots) are not differentiated versus peers. Market Share (2/2): Rogers is one of Canada's Big Three telecoms (with BCE and Telus) and the largest cable provider following the Shaw acquisition, with dominant wireless and cable internet positions across major Canadian markets [1]. Product Pipeline (1/2): 5G network buildout continues, and the Sports and Media segment grew 53% in Q2 2026 (13% organic) driven by Blue Jays revenue and new channel launches, but no specific next-generation products with revolutionary timelines have been announced [1]. R&amp;D Intensity (0/1): Capital expenditure fell 16% YoY in Q2 2026, focused on network infrastructure maintenance rather than R&amp;D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Rogers' purpose centers on connecting Canadians to digital possibilities — generic telecom language interchangeable with any connectivity provider globally [3]. The mission does not articulate a distinctive vision or inspire beyond the obvious commercial function. Community &amp; Charitable Impact (1/2): Rogers provides community engagement through the Toronto Blue Jays, Sportsnet media properties, and general corporate programs, and has been a member of the United Nations Global Compact since 2010 [3]. However, no distinctive large-scale charitable programs or specific dollar commitments were identified. Employee Retention (0/2): Glassdoor reviews describe concerning cultural dynamics: 'culture deteriorating,' 'executive leadership out of touch with reality,' 'dysfunctional and poor leadership,' and 'mid-management killed innovation' [2]. The appointment of yet another new CEO (Ali El-Haj, May 2026, from automotive — not telecom) following Tony Staffieri represents the third CEO transition since the 2021 boardroom battle, signaling ongoing leadership instability. Insider Buying (0/2): No meaningful net insider buying was identified in recent quarters.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delivered C$5.62B total revenue (+7.7% YoY) with service revenue of C$5.06B (+8%), free cash flow grew 6% to C$982M, and the leverage ratio improved from 4.0x to 3.8x [1]. Forward P/E of 9.08x is exceptionally low versus the 20x target (score 1.0), providing significant valuation cushion. ROE of 30.92% substantially exceeds the 15% target (score 1.0). Profit margin of 27.28% exceeds the 20% target (score 1.0), though partially inflated by one-time items given the trailing PE of 3.90x. Debt-to-equity of 200% is the primary drag (score 0.43), reflecting the C$26B Shaw acquisition debt [3]. Revenue growth YoY of 7.7% is just below the 10% target (score 0.92). Dividend characteristics include estimated 20+ consecutive years of payments and ~3-4% yield. Stock clears the liquidity floor with ~$39.4M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Rogers exhibits predominantly finite game characteristics. The family-controlled company has been through three CEO transitions since the 2021 boardroom battle (Natale → Staffieri → El-Haj), with new CEO Ali El-Haj appointed in May 2026 from the automotive industry — not telecom. The 2021 hostile board coup by Edward Rogers to install his preferred CEO was a textbook example of finite game politics prioritizing personal control over institutional trust. The C$26B Shaw acquisition was bold but driven by competitive market positioning rather than a Just Cause, and employee reviews consistently describe deteriorating culture and disconnected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Rogers' purpose is functional — connecting Canadians to digital services — rather than aspirational. The company exists to operate telecommunications infrastructure and generate returns for the Rogers family and shareholders, with no distinctive vision differentiating it from BCE or Telus [3]. The 2021 boardroom battle demonstrated that power dynamics, not purpose, drive strategic decisions at the company's highest levels. The third CEO transition in five years (Ali El-Haj, May 2026) further suggests the company is searching for execution, not pursuing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2021 public boardroom battle — Edward Rogers engineering a hostile board coup to install his preferred CEO — was a catastrophic trust breakdown at the highest organizational level [2]. At the employee level, Glassdoor reviews describe 'culture deteriorating,' 'executive leadership out of touch with reality,' 'dysfunctional and poor leadership,' and management that 'killed innovation.' The appointment of Ali El-Haj as the third CEO since 2021, recruited from the automotive industry with no telecom background, adds another layer of organizational uncertainty and leadership discontinuity.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Rogers operates in a mature Canadian telecom oligopoly alongside BCE and Telus, where competitive dynamics center on network quality, coverage, and customer service rather than destructive warfare [1]. The three carriers invest collectively in 5G infrastructure that benefits the broader industry. Management commentary in earnings calls focuses on Rogers' own operational improvements and integration execution rather than 'beating' or 'destroying'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C$26B Shaw acquisition fundamentally transformed Rogers' geographic and operational scope, expanding from Ontario/Atlantic-focused to a national wireless and cable platform with major Western Canada coverage [1]. Media revenue growth of 53% in Q2 2026 demonstrates the Sports and Media segment is becoming a meaningful diversification vector. However, the core business model (telecom infrastructure and media) remained constant, and the acquisition was driven by competitive positioning against BCE and Telus, not existential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C$26B Shaw acquisition was one of the boldest corporate bets in Canadian telecom history, requiring Rogers to take on massive debt ($25B+ CAD) and navigate complex regulatory review including the mandated C$2.85B Freedom Mobile divestiture to Quebecor [1]. Post-acquisition capex reductions of 16% YoY while growing free cash flow 6% and reducing leverage from 4.0x to 3.8x demonstrates disciplined capital allocation during integration [1]. However, the debt burden from the acquisition limits flexibility for future courageous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Rogers Communications delivers solid operational momentum with Q2 2026 total revenue of C$5.62B (+7.7% YoY), service revenue growth of 8%, and free cash flow up 6% to C$982M while reducing capex 16% and improving leverage from 4.0x to 3.8x — evidence that Shaw integration synergies are materializing [1]. The Sports and Media segment surged 53% driven by Blue Jays revenue and new channel launches. At a forward P/E of just 9.08x with an estimated 4.6% dividend yield, Rogers offers compelling value relative to global telecom peers and provides substantial downside protection through discount valuation. The Big Three oligopoly structure, government-protected spectrum licenses, and essential infrastructure positioning create durable competitive moats. Full-year 2026 guidance reaffirmed: service revenue growth 3-5%, adjusted EBITDA growth 1-3%, FCF $4.1-4.3B.</w:t>
      </w:r>
    </w:p>
    <w:p>
      <w:pPr>
        <w:spacing w:after="120"/>
      </w:pPr>
      <w:r>
        <w:rPr>
          <w:rFonts w:ascii="Calibri" w:hAnsi="Calibri"/>
          <w:b w:val="0"/>
          <w:color w:val="3A4A28"/>
          <w:sz w:val="20"/>
        </w:rPr>
        <w:t>The bear case centers on governance instability, leverage risk, and leadership uncertainty. The appointment of Ali El-Haj as CEO in May 2026 — a manufacturing industry executive with no telecom experience — marks the third CEO transition since the 2021 boardroom coup, creating strategic uncertainty during a critical post-Shaw integration period [2]. D/E of 200% with $25B+ CAD in long-term debt limits financial flexibility and creates meaningful interest expense headwinds. The stock has declined 23% from $39.83 to $30.87, reflecting market skepticism about leadership stability and capital allocation discipline. Glassdoor reviews consistently describe deteriorating culture and disconnected leadership. The trailing PE of 3.90x reflects one-time gains inflating TTM earnings; normalized forward PE of 9.08x is more representative of sustainable earnings power. Organic revenue growth of 3-5% (excluding Shaw) is below innovation leaders in the IOWN universe. The Inspire Impact Score of -62 (MISALIGNED) due to Sexually Explicit content through media properties may limit faith-based investor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Shaw integration synergies driving service revenue growth above 5% with declining capex, expanding free cash flow for accelerated deleveraging from 3.8x toward 3.0x net debt/EBITDA target [1]</w:t>
      </w:r>
    </w:p>
    <w:p>
      <w:pPr>
        <w:spacing w:before="40" w:after="40"/>
        <w:ind w:left="283"/>
      </w:pPr>
      <w:r>
        <w:rPr>
          <w:rFonts w:ascii="Calibri" w:hAnsi="Calibri"/>
          <w:b/>
          <w:color w:val="4A6B25"/>
          <w:sz w:val="20"/>
        </w:rPr>
        <w:t xml:space="preserve">2. </w:t>
      </w:r>
      <w:r>
        <w:rPr>
          <w:rFonts w:ascii="Calibri" w:hAnsi="Calibri"/>
          <w:b w:val="0"/>
          <w:color w:val="3A4A28"/>
          <w:sz w:val="20"/>
        </w:rPr>
        <w:t>Sports and Media segment momentum with 53% Q2 revenue growth from Blue Jays, Sportsnet expansion, and new channel launches creating a differentiated media asset within the telecom portfolio [1]</w:t>
      </w:r>
    </w:p>
    <w:p>
      <w:pPr>
        <w:spacing w:before="40" w:after="40"/>
        <w:ind w:left="283"/>
      </w:pPr>
      <w:r>
        <w:rPr>
          <w:rFonts w:ascii="Calibri" w:hAnsi="Calibri"/>
          <w:b/>
          <w:color w:val="4A6B25"/>
          <w:sz w:val="20"/>
        </w:rPr>
        <w:t xml:space="preserve">3. </w:t>
      </w:r>
      <w:r>
        <w:rPr>
          <w:rFonts w:ascii="Calibri" w:hAnsi="Calibri"/>
          <w:b w:val="0"/>
          <w:color w:val="3A4A28"/>
          <w:sz w:val="20"/>
        </w:rPr>
        <w:t>New CEO Ali El-Haj bringing fresh strategic perspective and turnaround experience — if he stabilizes leadership and accelerates operational improvements, the 9.08x forward PE offers significant re-rating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CEO instability — three leaders since 2021 (Natale, Staffieri, El-Haj) with the new CEO lacking telecom experience, creating strategic uncertainty during critical post-Shaw integration and AI investment phases [2]</w:t>
      </w:r>
    </w:p>
    <w:p>
      <w:pPr>
        <w:spacing w:before="40" w:after="40"/>
        <w:ind w:left="283"/>
      </w:pPr>
      <w:r>
        <w:rPr>
          <w:rFonts w:ascii="Calibri" w:hAnsi="Calibri"/>
          <w:b/>
          <w:color w:val="4A6B25"/>
          <w:sz w:val="20"/>
        </w:rPr>
        <w:t xml:space="preserve">2. </w:t>
      </w:r>
      <w:r>
        <w:rPr>
          <w:rFonts w:ascii="Calibri" w:hAnsi="Calibri"/>
          <w:b w:val="0"/>
          <w:color w:val="3A4A28"/>
          <w:sz w:val="20"/>
        </w:rPr>
        <w:t>D/E of 200% with $25B+ CAD in long-term obligations creates severe interest expense headwinds and limits strategic flexibility — any deterioration in free cash flow could force dividend cuts or asset sales</w:t>
      </w:r>
    </w:p>
    <w:p>
      <w:pPr>
        <w:spacing w:before="40" w:after="40"/>
        <w:ind w:left="283"/>
      </w:pPr>
      <w:r>
        <w:rPr>
          <w:rFonts w:ascii="Calibri" w:hAnsi="Calibri"/>
          <w:b/>
          <w:color w:val="4A6B25"/>
          <w:sz w:val="20"/>
        </w:rPr>
        <w:t xml:space="preserve">3. </w:t>
      </w:r>
      <w:r>
        <w:rPr>
          <w:rFonts w:ascii="Calibri" w:hAnsi="Calibri"/>
          <w:b w:val="0"/>
          <w:color w:val="3A4A28"/>
          <w:sz w:val="20"/>
        </w:rPr>
        <w:t>Family-controlled governance under Edward Rogers creates persistent risk of boardroom disruption — the 2021 hostile board coup demonstrated that personal power dynamics can override institutional governance at any time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Rogers' core wireless and cable infrastructure business is protected from AI disruption by physical network assets (cell towers, fiber optics, cable plant), government-issued spectrum licenses, and regulatory barriers to entry that AI cannot replicate [1]. Connectivity demand is increasing as AI adoption drives more data consumption, cloud computing, and smart device proliferation — AI structurally increases demand for the telecommunications pipes Rogers provides. However, the Sports and Media segment (Q2 revenue +53%) faces moderate AI exposure through AI-generated content, AI-driven advertising optimization, and potential disruption to traditional sports broadcasting distribution models. The 2022 Canada-wide outage affecting 12 million customers highlighted operational fragility in the network infrastructure. AI Opportunity (0/1): No meaningful AI-related revenue products or services have been identified. Rogers' C$10B AI investment commitment is focused on internal network reliability and operations, not customer-facing AI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Rogers Communications Q2 2026 Earnings Release — Revenue C$5.62B (+7.7% YoY), Service Revenue C$5.06B (+8%), FCF C$982M (+6%), Leverage 3.8x, FY2026 Guidance Reaffirmed, July 2026</w:t>
      </w:r>
    </w:p>
    <w:p>
      <w:pPr>
        <w:spacing w:before="20" w:after="20"/>
        <w:ind w:left="170"/>
      </w:pPr>
      <w:r>
        <w:rPr>
          <w:rFonts w:ascii="Calibri" w:hAnsi="Calibri"/>
          <w:b/>
          <w:color w:val="4A6B25"/>
          <w:sz w:val="15"/>
        </w:rPr>
        <w:t xml:space="preserve">2. </w:t>
      </w:r>
      <w:r>
        <w:rPr>
          <w:rFonts w:ascii="Calibri" w:hAnsi="Calibri"/>
          <w:b w:val="0"/>
          <w:color w:val="3A4A28"/>
          <w:sz w:val="17"/>
        </w:rPr>
        <w:t>Rogers Communications Leadership and Culture — New CEO Ali El-Haj (May 2026), C$10B AI Investment, Glassdoor Reviews, 2021 Boardroom Battle — IT Pro, Glassdoor, MitchelLake, 2022-2026</w:t>
      </w:r>
    </w:p>
    <w:p>
      <w:pPr>
        <w:spacing w:before="20" w:after="20"/>
        <w:ind w:left="170"/>
      </w:pPr>
      <w:r>
        <w:rPr>
          <w:rFonts w:ascii="Calibri" w:hAnsi="Calibri"/>
          <w:b/>
          <w:color w:val="4A6B25"/>
          <w:sz w:val="15"/>
        </w:rPr>
        <w:t xml:space="preserve">3. </w:t>
      </w:r>
      <w:r>
        <w:rPr>
          <w:rFonts w:ascii="Calibri" w:hAnsi="Calibri"/>
          <w:b w:val="0"/>
          <w:color w:val="3A4A28"/>
          <w:sz w:val="17"/>
        </w:rPr>
        <w:t>Rogers ESG Profile — Sustainalytics Medium Risk (Score 23), CRTC Regulatory History, Shaw Acquisition Scrutiny, 2022 Canada-wide Outage — Yahoo Finance, CSRHub,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