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RDN</w:t>
      </w:r>
      <w:r>
        <w:rPr>
          <w:rFonts w:ascii="Calibri" w:hAnsi="Calibri"/>
          <w:b/>
          <w:color w:val="1A2010"/>
          <w:sz w:val="40"/>
        </w:rPr>
        <w:t xml:space="preserve">  Radian Group Inc.</w:t>
      </w:r>
    </w:p>
    <w:p>
      <w:pPr>
        <w:spacing w:after="120"/>
      </w:pPr>
      <w:r>
        <w:rPr>
          <w:rFonts w:ascii="Calibri" w:hAnsi="Calibri"/>
          <w:b/>
          <w:color w:val="6E8450"/>
          <w:sz w:val="18"/>
        </w:rPr>
        <w:t>DIVIDEND SLEEVE · 2026-09-21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Specialty · NYSE · United States</w:t>
      </w:r>
    </w:p>
    <w:p>
      <w:pPr>
        <w:spacing w:after="80"/>
      </w:pPr>
      <w:r>
        <w:rPr>
          <w:rFonts w:ascii="Calibri" w:hAnsi="Calibri"/>
          <w:b w:val="0"/>
          <w:color w:val="3A4A28"/>
          <w:sz w:val="20"/>
        </w:rPr>
        <w:t>Radian Group Inc. provides private mortgage insurance on residential first-lien mortgage loans, helping ensure affordable homeownership in the United States. Following the 2025 acquisition of Inigo, which doubled revenues, the company also offers specialty insurance and reinsurance lines through Lloyd's. Insurance in force reached an all-time high of $282.5 billion in 2025. CEO Mike Weinbach assumed leadership in August 2026. Headquartered in Wayne, Pennsylvania, founded in 1977, Radian reported TTM revenue of $1.65B with a 32.5% profit margin.</w:t>
      </w:r>
    </w:p>
    <w:p>
      <w:r>
        <w:rPr>
          <w:rFonts w:ascii="Calibri" w:hAnsi="Calibri"/>
          <w:b/>
          <w:color w:val="6E8450"/>
          <w:sz w:val="18"/>
        </w:rPr>
        <w:t>900 Employees · https://www.radian.com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Inigo acquisition was transformative — doubling annual revenues and expanding Radian from a pure-play mortgage insurer into a diversified specialty insurance and reinsurance platform at Lloyd's [1]. Insurance in force reached an all-time high of $282.5B in 2025, supported by strong persistency and new insurance written. However, core mortgage insurance remains a mature, commoditized product with limited room for disruptive innovation. AI Deployment (1/2): Radian has adopted a technology-first approach with layered AI adoption — combining data science teams with HR-led workforce training, creating tiers from general awareness to power users [2]. AI is deployed across underwriting risk models, fraud detection, and process automation, generating internal efficiencies but not creating new AI-driven revenue streams. Market Share (1/2): Top-5 private mortgage insurer in the U.S. with $282.5B insurance in force at record levels, maintaining critical relationships with GSEs and mortgage originators [1]. The Inigo acquisition added meaningful Lloyd's specialty insurance market position. Product Pipeline (1/2): Expansion into specialty insurance and reinsurance via Inigo represents a significant new growth platform covering political risk, trade credit, and specialty lines [1][2]. R&amp;D Intensity (1/1): Technology and data science investments exceed insurance industry norms, with dedicated AI governance frameworks and specialized data science teams driving underwriting automation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Radian's purpose centers on making homeownership accessible and sustainable through private mortgage insurance — a genuine social good enabling first-time homebuyers who cannot afford 20% down payments — but the mission is narrow and undifferentiated from MI peers [1][2]. Community Impact (1/2): The company facilitates homeownership access with inherent social value, publishes corporate responsibility reports with DEI initiatives, and maintains an ESG Steering Committee overseeing environmental and social commitments [3]. However, the scale of community investment is modest relative to larger peers, with limited quantified programmatic impact data. Employee Retention (1/2): With only 900 employees, Radian operates as a lean, technology-focused organization with AI training programs tiered from general awareness to power users [2]. New CEO Mike Weinbach (ex-Mr. Cooper, Wells Fargo, JPMorgan) brings deep financial services experience, but prior Glassdoor criticism of leadership culture and multiple layoff rounds during the Thornberry era create cultural uncertainty. Insider Buying (0/2): No evidence of meaningful net insider buying by current executives in the last 12 months beyond the Weinbach pre-appointment stock purchase.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28.0% is well below the 70% target (score 1.0), reflecting conservative capital management for an insurance company [4]. Forward P/E of 6.66 is deeply discounted versus the 20 target (score 1.0), and PEG of 0.76 indicates compelling growth-adjusted valuation. Profit margin of 32.5% exceeds the 20% target (score 1.0). ROE of 12.0% falls below the 15% target but well above floor (score 0.80), partly reflecting excess capital held for regulatory reserves [1]. Revenue growth YoY of 93.5% (score 1.0) was driven by the Inigo acquisition; 5-year CAGR of approximately 4% (score 0.60) reflects organic revenue headwinds from the higher rate environment prior to the acquisition. Dividend profile is solid: payout ratio of 25.2% (score 1.0) provides ample coverage, approximately 12 consecutive years of payments since resuming post-financial-crisis (score 1.0, 2x weight), 7 consecutive years of growth (score 0.70), and 5-year dividend growth CAGR of approximately 12% (score 1.0, 2x weight) [4]. Liquidity floor cleared: 1.2M avg volume x $35.01 = $42M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Radian's 49-year operating history and mission of enabling homeownership represent genuine long-game orientation, reinforced by the transformative Inigo acquisition that sacrificed near-term simplicity for long-term diversification. However, prior waves of layoffs during record profits and Glassdoor criticism of leadership culture undermine the infinite game narrative. The CEO transition to Weinbach introduces execution uncertainty during a critical integration period. The company plays to keep playing, but with notable finite-game tendencies in human capital management.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Enabling affordable homeownership through private mortgage insurance is a genuine and important social purpose — MI allows borrowers to purchase homes with less than 20% down, directly expanding access to wealth-building homeownership [1]. Radian has pursued this mission since 1977 across multiple housing cycles. However, the cause is narrow and difficult to distinguish from competitors (MGIC, Essent, NMI, Arch all serve the identical purpose), and the Inigo acquisition into specialty insurance/reinsurance introduces a commercially-driven diversification rationale that dilutes the homeownership narrative.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Radian's 900-person workforce operates in a technology-forward culture with AI training programs tiered from awareness to power-user specialization, suggesting investment in employee development [2]. The CEO handover to Mike Weinbach — a seasoned executive from Mr. Cooper, Wells Fargo, and JPMorgan — was managed as an orderly succession. However, prior waves of layoffs amid record profits and Glassdoor criticism of an insular leadership culture erode the trust narrative, particularly during a critical integration period where talent retention matters most.</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Radian competes against well-capitalized MI peers including MGIC Investment, Essent Group, NMI Holdings, and Arch Capital with a learning-oriented approach — the Inigo acquisition explicitly acknowledges that the MI-only model is insufficient for long-term growth, using competitive dynamics as motivation to build a diversified platform rather than fighting for incremental MI share [1]. Management focuses on digital transformation and diversification rather than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Inigo acquisition represents genuine strategic reinvention — transforming Radian from a single-line U.S. mortgage insurer into a global multi-line specialty insurance platform that doubled revenues [1]. This was a deliberate strategic pivot to reduce dependence on the cyclical U.S. housing market and mortgage rate environment, entering Lloyd's specialty lines including political risk and trade credit. The willingness to fundamentally reshape the company's identity and revenue composition demonstrates meaningful existential flexibility unusual in the insurance sector.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Inigo to double revenue and diversify beyond MI was a bold strategic bet that required significant capital deployment in a market where Radian had limited direct experience [1]. The planned CEO transition to Weinbach demonstrates governance maturity. However, Q1 2026 adjusted operating EPS growth of 22% lagged the 58% revenue growth, suggesting integration costs are compressing near-term returns. The pattern of layoffs during record profits suggests leadership lacked courage to invest in people during past transitions, though Weinbach may shift this culture.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Radian at 6.66x forward earnings with a PEG of 0.76 and 2.91% dividend yield offers deep value in a structurally protected franchise — private mortgage insurance requires regulatory approval, GSE eligibility, and substantial capital reserves that create durable barriers to entry [1][4]. The Inigo acquisition doubled revenues and transformed Radian into a diversified specialty insurance platform, with Q1 2026 showing 58% revenue growth and 22% adjusted operating EPS growth, while insurance in force reached an all-time high of $282.5B [1]. The 32.5% profit margin, conservative 28% D/E ratio, and expected $600M+ in Radian Guaranty dividends provide financial strength to fund continued dividend growth (12% 5-year CAGR) and share repurchases. CEO Weinbach's JPMorgan and Mr. Cooper pedigree positions him to execute the integration and accelerate digital transformation [2].</w:t>
      </w:r>
    </w:p>
    <w:p>
      <w:pPr>
        <w:spacing w:after="120"/>
      </w:pPr>
      <w:r>
        <w:rPr>
          <w:rFonts w:ascii="Calibri" w:hAnsi="Calibri"/>
          <w:b w:val="0"/>
          <w:color w:val="3A4A28"/>
          <w:sz w:val="20"/>
        </w:rPr>
        <w:t>The bear case centers on Inigo integration risk and mortgage insurance cyclicality. Deploying $1.7B in specialty insurance — a market where Radian has limited experience — carries significant execution risk during a simultaneous CEO transition [1]. The standalone MI business showed negative revenue growth over 5 years before the acquisition masked it, and housing market cyclicality remains a structural overhang: rising delinquency rates or a housing downturn would directly stress the MI insurance-in-force portfolio. ROE of 12% is below the 15% threshold for a high-quality financial institution, partly reflecting excess regulatory capital but also indicating moderate returns on equity. EPS declined 16.2% year-over-year despite the revenue surge, suggesting integration and acquisition costs are meaningful [1]. Prior cultural concerns — layoffs during record profits and Glassdoor criticism — create talent retention risk during a period when integration execution matters most. The negative Inspire score (-49) and MISALIGNED faith alignment label may concern values-based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Inigo integration synergies expected to materialize in late 2026-2027, with potential for margin expansion as specialty insurance operations scale and one-time integration costs decline [1]</w:t>
      </w:r>
    </w:p>
    <w:p>
      <w:pPr>
        <w:spacing w:before="40" w:after="40"/>
        <w:ind w:left="283"/>
      </w:pPr>
      <w:r>
        <w:rPr>
          <w:rFonts w:ascii="Calibri" w:hAnsi="Calibri"/>
          <w:b/>
          <w:color w:val="4A6B25"/>
          <w:sz w:val="20"/>
        </w:rPr>
        <w:t xml:space="preserve">2. </w:t>
      </w:r>
      <w:r>
        <w:rPr>
          <w:rFonts w:ascii="Calibri" w:hAnsi="Calibri"/>
          <w:b w:val="0"/>
          <w:color w:val="3A4A28"/>
          <w:sz w:val="20"/>
        </w:rPr>
        <w:t>Expected $600M+ in Radian Guaranty dividends provides substantial capital for dividend growth, share buybacks, or further strategic acquisitions to build the specialty insurance platform [1]</w:t>
      </w:r>
    </w:p>
    <w:p>
      <w:pPr>
        <w:spacing w:before="40" w:after="40"/>
        <w:ind w:left="283"/>
      </w:pPr>
      <w:r>
        <w:rPr>
          <w:rFonts w:ascii="Calibri" w:hAnsi="Calibri"/>
          <w:b/>
          <w:color w:val="4A6B25"/>
          <w:sz w:val="20"/>
        </w:rPr>
        <w:t xml:space="preserve">3. </w:t>
      </w:r>
      <w:r>
        <w:rPr>
          <w:rFonts w:ascii="Calibri" w:hAnsi="Calibri"/>
          <w:b w:val="0"/>
          <w:color w:val="3A4A28"/>
          <w:sz w:val="20"/>
        </w:rPr>
        <w:t>Forward P/E of 6.66x with PEG of 0.76 suggests significant multiple expansion potential if Inigo integration succeeds and the market reclassifies Radian from cyclical MI play to diversified insurer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cyclicality — a recession-driven surge in mortgage defaults could simultaneously increase claims and reduce new insurance written, compressing the $282.5B insurance-in-force base [1]</w:t>
      </w:r>
    </w:p>
    <w:p>
      <w:pPr>
        <w:spacing w:before="40" w:after="40"/>
        <w:ind w:left="283"/>
      </w:pPr>
      <w:r>
        <w:rPr>
          <w:rFonts w:ascii="Calibri" w:hAnsi="Calibri"/>
          <w:b/>
          <w:color w:val="4A6B25"/>
          <w:sz w:val="20"/>
        </w:rPr>
        <w:t xml:space="preserve">2. </w:t>
      </w:r>
      <w:r>
        <w:rPr>
          <w:rFonts w:ascii="Calibri" w:hAnsi="Calibri"/>
          <w:b w:val="0"/>
          <w:color w:val="3A4A28"/>
          <w:sz w:val="20"/>
        </w:rPr>
        <w:t>Inigo integration execution risk — entering Lloyd's specialty insurance where Radian has limited experience, while Q1 2026 EPS growth of 22% lagged the 58% revenue growth, suggesting material integration costs [1]</w:t>
      </w:r>
    </w:p>
    <w:p>
      <w:pPr>
        <w:spacing w:before="40" w:after="40"/>
        <w:ind w:left="283"/>
      </w:pPr>
      <w:r>
        <w:rPr>
          <w:rFonts w:ascii="Calibri" w:hAnsi="Calibri"/>
          <w:b/>
          <w:color w:val="4A6B25"/>
          <w:sz w:val="20"/>
        </w:rPr>
        <w:t xml:space="preserve">3. </w:t>
      </w:r>
      <w:r>
        <w:rPr>
          <w:rFonts w:ascii="Calibri" w:hAnsi="Calibri"/>
          <w:b w:val="0"/>
          <w:color w:val="3A4A28"/>
          <w:sz w:val="20"/>
        </w:rPr>
        <w:t>Cultural and leadership transition risk — CEO Weinbach inherits a fundamentally different company with prior talent retention concerns, and cultural integration of Inigo's Lloyd's teams with Radian's MI-focused organization adds complexity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Mortgage insurance is structurally protected from AI disruption by heavy regulatory requirements — state-by-state licensing, GSE eligibility mandates, and substantial capital reserve requirements create barriers that AI-native entrants cannot easily overcome [1][4]. The product itself (guaranteeing credit risk on mortgage loans) requires regulated capital, not just algorithms. However, AI-powered risk models could shift competitive dynamics among existing MI players by enabling more granular pricing and adverse selection by better-capitalized competitors. The Inigo expansion into specialty insurance introduces additional AI vectors in catastrophe modeling and claims automation. AI-powered alternative credit scoring platforms could alter the insurable pool dynamics. AI Opportunity (1/1): Radian's technology-first culture and layered AI adoption framework — from general workforce training to power-user data science teams — positions the company to extract operational value from AI across underwriting automation, fraud detection, portfolio risk monitoring, and digital mortgage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Radian Group Q4 2025 Earnings Call and Q1 2026 Financial Results — Investing.com, BusinessWire, record $282.5B insurance in force, Inigo-driven 58% revenue growth, May 2026</w:t>
      </w:r>
    </w:p>
    <w:p>
      <w:pPr>
        <w:spacing w:before="20" w:after="20"/>
        <w:ind w:left="170"/>
      </w:pPr>
      <w:r>
        <w:rPr>
          <w:rFonts w:ascii="Calibri" w:hAnsi="Calibri"/>
          <w:b/>
          <w:color w:val="4A6B25"/>
          <w:sz w:val="15"/>
        </w:rPr>
        <w:t xml:space="preserve">2. </w:t>
      </w:r>
      <w:r>
        <w:rPr>
          <w:rFonts w:ascii="Calibri" w:hAnsi="Calibri"/>
          <w:b w:val="0"/>
          <w:color w:val="3A4A28"/>
          <w:sz w:val="17"/>
        </w:rPr>
        <w:t>Radian AI Strategy and CEO Transition — HousingWire, Procurement Magazine, Yahoo Finance, Weinbach appointment and AI governance framework, 2025-2026</w:t>
      </w:r>
    </w:p>
    <w:p>
      <w:pPr>
        <w:spacing w:before="20" w:after="20"/>
        <w:ind w:left="170"/>
      </w:pPr>
      <w:r>
        <w:rPr>
          <w:rFonts w:ascii="Calibri" w:hAnsi="Calibri"/>
          <w:b/>
          <w:color w:val="4A6B25"/>
          <w:sz w:val="15"/>
        </w:rPr>
        <w:t xml:space="preserve">3. </w:t>
      </w:r>
      <w:r>
        <w:rPr>
          <w:rFonts w:ascii="Calibri" w:hAnsi="Calibri"/>
          <w:b w:val="0"/>
          <w:color w:val="3A4A28"/>
          <w:sz w:val="17"/>
        </w:rPr>
        <w:t>Radian ESG and Corporate Responsibility — Radian.com ESG Tear Sheets, Corporate Responsibility Report, DEI and environmental commitments,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RDN Key Statistics, forward P/E 6.66, PEG 0.76, profit margin 32.5%, D/E 28%,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