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REFI</w:t>
      </w:r>
      <w:r>
        <w:rPr>
          <w:rFonts w:ascii="Calibri" w:hAnsi="Calibri"/>
          <w:b/>
          <w:color w:val="1A2010"/>
          <w:sz w:val="40"/>
        </w:rPr>
        <w:t xml:space="preserve">  Chicago Atlantic Real Estate Finance, Inc.</w:t>
      </w:r>
    </w:p>
    <w:p>
      <w:pPr>
        <w:spacing w:after="120"/>
      </w:pPr>
      <w:r>
        <w:rPr>
          <w:rFonts w:ascii="Calibri" w:hAnsi="Calibri"/>
          <w:b/>
          <w:color w:val="6E8450"/>
          <w:sz w:val="18"/>
        </w:rPr>
        <w:t>GROWTH SLEEVE · 2026-10-13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NASDAQ · United States</w:t>
      </w:r>
    </w:p>
    <w:p>
      <w:pPr>
        <w:spacing w:after="80"/>
      </w:pPr>
      <w:r>
        <w:rPr>
          <w:rFonts w:ascii="Calibri" w:hAnsi="Calibri"/>
          <w:b w:val="0"/>
          <w:color w:val="3A4A28"/>
          <w:sz w:val="20"/>
        </w:rPr>
        <w:t>Chicago Atlantic Real Estate Finance, Inc. is a commercial mortgage REIT focused on originating, structuring, and investing in first mortgage loans secured by commercial real estate properties of state-licensed cannabis operators in limited-license states. Externally managed by Chicago Atlantic REIT Manager, LLC, the company holds a $462M lending pipeline and emphasizes senior secured loans at conservative leverage (1-2x EBITDA) with real covenants. FY2025 revenue was $55.6M, up 1.4% from FY2024. On June 17, 2026, REFI agreed to merge into sister entity Chicago Atlantic BDC (LIEN) in an all-stock transaction, with LIEN as the surviving entity; former REFI stockholders expected to own approximately 50.5% of the combined company. Kahn Swick &amp; Foti LLC is investigating the fairness of the merger to REFI shareholders. Co-CEOs Peter Sack and Anthony Cappell lead from offices in Miami Beach, Florida.</w:t>
      </w:r>
    </w:p>
    <w:p>
      <w:r>
        <w:rPr>
          <w:rFonts w:ascii="Calibri" w:hAnsi="Calibri"/>
          <w:b/>
          <w:color w:val="6E8450"/>
          <w:sz w:val="18"/>
        </w:rPr>
        <w:t>https://www.refi.reit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REFI grew from its 2021 IPO to a $240M market cap cannabis mortgage REIT with revenue scaling from $48.9M (FY2022) to $55.6M (FY2025) and a $462M lending pipeline [1][2]. This represents steady but incremental growth in a niche market rather than a product launch, market pivot, or business model transformation. The origination model — senior secured first-lien cannabis real estate loans — has remained unchanged since inception. AI Deployment (0/2): No evidence of AI-powered underwriting, portfolio management tools, or quantified AI savings. Cannabis mortgage lending remains a manual, relationship-driven process with no disclosed technology differentiation. Market Share (2/2): REFI is the only publicly traded commercial mortgage REIT primarily focused on the U.S. cannabis industry, holding a category-defining position alongside sister entity LIEN (the only cannabis BDC) [2]. This unique positioning gives exclusive access to high-yield first-lien lending in a market where traditional mortgage REITs cannot participate due to federal prohibition. Product Pipeline (0/2): No next-generation products or services announced. The $462M lending pipeline represents loan origination capacity, not product innovation [1]. R&amp;D Intensity (0/1): Mortgage REITs have no R&amp;D function.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REFI fills a genuine financing gap — providing first-mortgage real estate lending to cannabis operators locked out of traditional banking and real estate finance [2]. This connects the company's work to financial inclusion for a legal-at-the-state-level industry. The conservative lending approach (1-2x EBITDA, senior secured, real covenants) suggests responsible stewardship. However, the mission is commercially motivated rather than articulating a transcendent purpose or vision of a better future. Community Impact (0/2): No evidence of charitable programs, community investment, or foundation activities. Employee Retention (0/2): No employee count disclosed, no Glassdoor data, no retention metrics. The externally managed REIT structure means the investment team operates through Chicago Atlantic REIT Manager LLC, making organizational culture opaque [2].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history &lt;5 years despite 20.1% yield). REFI's infrastructure reflects a conservatively leveraged, highly profitable specialty lender with declining revenue momentum [1][2]. D/E of 46.6% is well below the 70% target, scoring 1.0 (1x weight). ROE of 9.6% scores 0.64 against the 15% target (2x weight). Revenue growth YoY of -7.5% scores 0.42 (1x weight). Revenue growth 5yr CAGR of approximately 4.4% (FY2022-FY2025) scores 0.63 (2x weight). Forward P/E of 4.87 is deeply discounted against the 20 target, scoring 1.0 (1x weight). Profit margin of 60.2% far exceeds the 20% target, scoring 1.0 (1x weight). PEG ratio unavailable, excluded. Weighted sum 5.96 / max 8.0 = 7.45, rounded to 7. Daily dollar volume of $1.81M ($9.35 x 193,790)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Chicago Atlantic Real Estate Finance is a purely financial enterprise designed to capture high yields from cannabis real estate mortgage lending during a window of federal prohibition. Sinek would see a company playing a finite game — built to profit from a specific regulatory environment rather than to endure through changing conditions. The pending merger with LIEN is a consolidation play driven by financial optimization, not purpose. There is no articulated Just Cause, no evidence of courageous leadership choices, and the externally managed structure inherently prioritizes manager economics over organizational mission. The Kahn Swick &amp; Foti investigation of the merger's fairness to shareholders underscores governance concerns typical of externally managed vehicles.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REFI's purpose — providing first-mortgage real estate capital to cannabis operators — fills a genuine gap, but it is framed entirely as a commercial opportunity exploiting regulatory arbitrage rather than a Just Cause [2]. The company exists because federal prohibition creates an artificially constrained lending market with premium yields. There is no articulated vision of a better future state, no mission that inspires sacrifice. If cannabis is federally legalized and traditional mortgage lenders enter the market, REFI's reason for existing as a separate entity diminishes.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data available. The externally managed REIT structure means the investment team operates through Chicago Atlantic REIT Manager LLC, creating an inherent principal-agent conflict between the external manager and REFI shareholders [2]. External management fees create incentives that may not align with shareholder interests — a structural trust concern. No Glassdoor data, retention metrics, or cultural indicators are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As the only publicly traded cannabis mortgage REIT, the company has few direct peers. No management commentary references learning from competitors' strengths or using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REFI has operated in the same cannabis mortgage lending niche since its 2021 IPO with no strategic inflection points or business model evolution. The pending merger with LIEN is a structural consolidation, not a transformative reinvention [3]. The company has not demonstrated willingness to abandon or fundamentally change its business model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performance for future capability. The business model — originating high-yield first-lien cannabis mortgage loans to borrowers with limited alternatives — generates premium returns without requiring courageous strategic choices. The LIEN merger was unanimously approved by both boards acting on independent committee recommendations, representing standard corporate governance rather than a courageous departure from the easy path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REFI at $9.35 offers a 20.1% dividend yield with a forward P/E of 4.87 and 60.2% profit margin as the only publicly traded cannabis mortgage REIT, occupying a category-defining niche alongside sister entity LIEN [2]. The company's conservative underwriting — senior secured first-lien loans at 1-2x EBITDA with real covenants — has produced a loan portfolio with strong credit quality, and the $462M lending pipeline provides origination visibility [1]. The pending merger with LIEN would create a combined cannabis lending platform with both direct loans and real estate mortgage exposure, potentially improving liquidity and diversification. Cannabis rescheduling from Schedule I to Schedule III, with recreational rescheduling pending DEA review, is a structural tailwind for the cannabis industry and REFI's borrower base. Forward P/E of 4.87 implies the market deeply discounts the sustainability of earnings.</w:t>
      </w:r>
    </w:p>
    <w:p>
      <w:pPr>
        <w:spacing w:after="120"/>
      </w:pPr>
      <w:r>
        <w:rPr>
          <w:rFonts w:ascii="Calibri" w:hAnsi="Calibri"/>
          <w:b w:val="0"/>
          <w:color w:val="3A4A28"/>
          <w:sz w:val="20"/>
        </w:rPr>
        <w:t>The bear case centers on the unsustainable payout, regulatory risk, and merger uncertainties. The 137% payout ratio means REFI is distributing more than it earns, requiring either capital market access or portfolio runoff to sustain the dividend — a pattern that cannot continue indefinitely [1]. Revenue declined 7.5% in the most recent quarter with EPS falling 17.1% YoY, suggesting the cannabis lending market may be saturating or REFI's competitive position is eroding. The pending LIEN merger is under investigation by Kahn Swick &amp; Foti LLC regarding fairness to REFI shareholders, and the externally managed structure creates inherent conflicts of interest between the Chicago Atlantic management team and REFI stockholders [3]. Cannabis remains federally illegal, and a shift in DOJ enforcement posture could impair the entire loan portfolio. The 20% dividend yield signals the market perceives significant risk of a dividend cut. If cannabis is fully legalized, traditional mortgage REITs will enter the market with lower costs of capital, compressing the premium yields that justify REFI's existence as a separate entity.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Pending merger with LIEN creating a combined cannabis lending platform, with former REFI stockholders owning approximately 50.5% of the combined entity — potential for improved liquidity and analyst coverage as a larger vehicle [3]</w:t>
      </w:r>
    </w:p>
    <w:p>
      <w:pPr>
        <w:spacing w:before="40" w:after="40"/>
        <w:ind w:left="283"/>
      </w:pPr>
      <w:r>
        <w:rPr>
          <w:rFonts w:ascii="Calibri" w:hAnsi="Calibri"/>
          <w:b/>
          <w:color w:val="4A6B25"/>
          <w:sz w:val="20"/>
        </w:rPr>
        <w:t xml:space="preserve">2. </w:t>
      </w:r>
      <w:r>
        <w:rPr>
          <w:rFonts w:ascii="Calibri" w:hAnsi="Calibri"/>
          <w:b w:val="0"/>
          <w:color w:val="3A4A28"/>
          <w:sz w:val="20"/>
        </w:rPr>
        <w:t>Cannabis rescheduling from Schedule I to Schedule III (recreational rescheduling pending DEA review) would de-risk the cannabis industry, improve borrower creditworthiness, and potentially attract institutional capital to the sector</w:t>
      </w:r>
    </w:p>
    <w:p>
      <w:pPr>
        <w:spacing w:before="40" w:after="40"/>
        <w:ind w:left="283"/>
      </w:pPr>
      <w:r>
        <w:rPr>
          <w:rFonts w:ascii="Calibri" w:hAnsi="Calibri"/>
          <w:b/>
          <w:color w:val="4A6B25"/>
          <w:sz w:val="20"/>
        </w:rPr>
        <w:t xml:space="preserve">3. </w:t>
      </w:r>
      <w:r>
        <w:rPr>
          <w:rFonts w:ascii="Calibri" w:hAnsi="Calibri"/>
          <w:b w:val="0"/>
          <w:color w:val="3A4A28"/>
          <w:sz w:val="20"/>
        </w:rPr>
        <w:t>$462M lending pipeline and forward P/E of 4.87 with 60.2% profit margin suggest significant upside if cannabis regulatory environment stabilizes and revenue growth resumes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137% payout ratio is unsustainable — REFI is distributing more than current earnings, requiring external capital to maintain the $1.88 annual dividend; the 20% yield signals market expectation of a dividend cut [1]</w:t>
      </w:r>
    </w:p>
    <w:p>
      <w:pPr>
        <w:spacing w:before="40" w:after="40"/>
        <w:ind w:left="283"/>
      </w:pPr>
      <w:r>
        <w:rPr>
          <w:rFonts w:ascii="Calibri" w:hAnsi="Calibri"/>
          <w:b/>
          <w:color w:val="4A6B25"/>
          <w:sz w:val="20"/>
        </w:rPr>
        <w:t xml:space="preserve">2. </w:t>
      </w:r>
      <w:r>
        <w:rPr>
          <w:rFonts w:ascii="Calibri" w:hAnsi="Calibri"/>
          <w:b w:val="0"/>
          <w:color w:val="3A4A28"/>
          <w:sz w:val="20"/>
        </w:rPr>
        <w:t>Kahn Swick &amp; Foti LLC investigating the fairness of the LIEN merger to REFI shareholders, highlighting governance risks inherent in externally managed vehicles where the same management team controls both entities [3]</w:t>
      </w:r>
    </w:p>
    <w:p>
      <w:pPr>
        <w:spacing w:before="40" w:after="40"/>
        <w:ind w:left="283"/>
      </w:pPr>
      <w:r>
        <w:rPr>
          <w:rFonts w:ascii="Calibri" w:hAnsi="Calibri"/>
          <w:b/>
          <w:color w:val="4A6B25"/>
          <w:sz w:val="20"/>
        </w:rPr>
        <w:t xml:space="preserve">3. </w:t>
      </w:r>
      <w:r>
        <w:rPr>
          <w:rFonts w:ascii="Calibri" w:hAnsi="Calibri"/>
          <w:b w:val="0"/>
          <w:color w:val="3A4A28"/>
          <w:sz w:val="20"/>
        </w:rPr>
        <w:t>Revenue declining 7.5% with EPS down 17.1% YoY despite stable cannabis lending demand — potential signs of market saturation, credit quality deterioration, or competitive pressure from new entrants into cannabis lending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REFI's cannabis real estate mortgage business has meaningful defensive moats against AI disruption [2]. Cannabis real estate lending requires deep regulatory expertise across state-by-state cannabis licensing frameworks, relationship-driven origination with operators who have limited financing alternatives, physical property valuation, and legal structuring around federal prohibition. These create structural barriers that AI tools alone cannot bridge. However, AI-powered credit platforms could eventually commoditize aspects of the underwriting process and lower barriers to entry for new cannabis lenders, eroding REFI's niche advantage over time. The company's conservative lending practices (1-2x EBITDA, first-lien secured) provide some insulation but are replicable by well-capitalized competitors using AI tools for risk assessment. AI Opportunity (0/1): No evidence of AI-powered products or AI-related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Chicago Atlantic Real Estate Finance Financial Data — FY2025 Revenue $55.6M, $462M Cannabis Lending Pipeline, Conservative Underwriting (1-2x EBITDA, First-Lien Secured) — Seeking Alpha, Yahoo Finance, 2025-2026</w:t>
      </w:r>
    </w:p>
    <w:p>
      <w:pPr>
        <w:spacing w:before="20" w:after="20"/>
        <w:ind w:left="170"/>
      </w:pPr>
      <w:r>
        <w:rPr>
          <w:rFonts w:ascii="Calibri" w:hAnsi="Calibri"/>
          <w:b/>
          <w:color w:val="4A6B25"/>
          <w:sz w:val="15"/>
        </w:rPr>
        <w:t xml:space="preserve">2. </w:t>
      </w:r>
      <w:r>
        <w:rPr>
          <w:rFonts w:ascii="Calibri" w:hAnsi="Calibri"/>
          <w:b w:val="0"/>
          <w:color w:val="3A4A28"/>
          <w:sz w:val="17"/>
        </w:rPr>
        <w:t>Chicago Atlantic Real Estate Finance Corporate Overview — Only Publicly Traded Cannabis Mortgage REIT, Co-CEOs Peter Sack and Anthony Cappell, External Management Structure — IPO Scoop, Fintool, Yahoo Finance Profile, 2021-2026</w:t>
      </w:r>
    </w:p>
    <w:p>
      <w:pPr>
        <w:spacing w:before="20" w:after="20"/>
        <w:ind w:left="170"/>
      </w:pPr>
      <w:r>
        <w:rPr>
          <w:rFonts w:ascii="Calibri" w:hAnsi="Calibri"/>
          <w:b/>
          <w:color w:val="4A6B25"/>
          <w:sz w:val="15"/>
        </w:rPr>
        <w:t xml:space="preserve">3. </w:t>
      </w:r>
      <w:r>
        <w:rPr>
          <w:rFonts w:ascii="Calibri" w:hAnsi="Calibri"/>
          <w:b w:val="0"/>
          <w:color w:val="3A4A28"/>
          <w:sz w:val="17"/>
        </w:rPr>
        <w:t>REFI-LIEN Merger — June 17, 2026 All-Stock Transaction, LIEN Surviving Entity, ~50.5% REFI Ownership, N-14 Filed July 31, 2026, Kahn Swick &amp; Foti Investigation — Barchart, SEC Filings, ChartMill, June-August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