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RENX</w:t>
      </w:r>
      <w:r>
        <w:rPr>
          <w:rFonts w:ascii="Calibri" w:hAnsi="Calibri"/>
          <w:b/>
          <w:color w:val="1A2010"/>
          <w:sz w:val="40"/>
        </w:rPr>
        <w:t xml:space="preserve">  RenX Enterprises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Real Estate - Development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RenX Enterprises is a micro-cap holding company with logistics, biomass recycling and compost, and modular building operations built partly through the June 2025 Resource Group acquisition. H1 2026 revenue was $8.2M against a net loss of $17.3M; Q2 2026 revenue was a record $4.26M with a 31.9% gross margin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June 2025 Resource Group acquisition lifted quarterly revenue from $18K to $3.96M, but this is an acquisition-led extension rather than a proven product success [1]. AI Deployment (0/2): No AI deployment found (search results referenced an unrelated consultancy) [2]. Market Share (0/2): A micro-cap participant with no share data. Pipeline (0/2): No dated next-generation product pipeline found. R&amp;D (0/1): No R&amp;D spending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Management describes an integrated operating model in which each business makes the others more valuable, which is generic holding-company language [2]. Community Impact (0/2): No programs found. Employee Retention (0/2): No data found. Insider Buying (0/2): No insider buying data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volume of 97,938 shares x $2.00 = about $196K per day, below $1,000,000, so Infrastructure = 0 regardless of metrics. Separately, D/E of 348%, ROE of -445% and a -169% profit margin all score zero despite 203% YoY revenue growth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RenX is a heavily loss-making micro-cap roll-up whose integrated-model language is not yet tested by a track record. Financing and acquisition-driven growth point to a finite, survival-oriented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The integrated operating model reads as a business strategy rather than a vision of a better future, and it is untested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major cultural red flags or tenure data were found, so adequate by default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competitive framing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changed its business through acquisition into logistics and recycling, an incremental shift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long-term sacrifices; growth was acquired and losses are $17.3M in H1 2026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RenX is growing revenue rapidly after the Resource Group acquisition: Q2 2026 revenue of $4.26M was a record, gross margin was 31.9%, and the Logistics segment was profitable for a second straight quarter with operating income near $258K [1]. At a $5.3M market cap, successful scaling of logistics and compost could re-rate the equity.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H1 2026 net loss was $17.3M on $8.2M of revenue, D/E is 348%, ROE is -445%, and Q1 diluted EPS was -$4.87 [1]. Average daily dollar volume of about $196K is below IOWN's liquidity floor, so the stock is not tradable at scale.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Logistics segment profitability extending to compost and biomass segments after a second profitable quarter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Sequential revenue growth beyond the record $4.26M quarter as integration of Resource Group matures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Debt reduction or recapitalization to lower D/E of 348%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Net loss of $17.3M in H1 2026 against $8.2M of revenue, implying continued dilution or financing needs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Leverage with D/E of 348% on a $5.3M market cap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Illiquidity with average volume of 97,938 shares and a price near $2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Logistics, composting and biomass recycling, and modular construction are physical-world operations that AI cannot displace, though no analyst coverage on AI impact was found. AI Opportunity (0/1):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RenX Enterprises Q1 and Q2 2026 results and 10-Q summaries, TradingView, Nasdaq, 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RenX Enterprises leadership and strategy - Simply Wall St, TradeBrains,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