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RES</w:t>
      </w:r>
      <w:r>
        <w:rPr>
          <w:rFonts w:ascii="Calibri" w:hAnsi="Calibri"/>
          <w:b/>
          <w:color w:val="1A2010"/>
          <w:sz w:val="40"/>
        </w:rPr>
        <w:t xml:space="preserve">  RPC, Inc.</w:t>
      </w:r>
    </w:p>
    <w:p>
      <w:pPr>
        <w:spacing w:after="120"/>
      </w:pPr>
      <w:r>
        <w:rPr>
          <w:rFonts w:ascii="Calibri" w:hAnsi="Calibri"/>
          <w:b/>
          <w:color w:val="6E8450"/>
          <w:sz w:val="18"/>
        </w:rPr>
        <w:t>DIVIDEND SLEEVE · 2026-09-08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RPC, Inc. is a diversified oilfield services holding company headquartered in Atlanta, Georgia, providing specialized services and equipment to independent and major oil and gas companies. Operating primarily in the Permian Basin with 10 hydraulic fracturing fleets, the company's Technical Services segment includes pressure pumping, coiled tubing, cementing, downhole tools, and nitrogen services, while the Support Services segment provides equipment rental and service support. Controlled by the Rollins family, RPC generated $1.6B in FY2025 revenue and reported Q1 2026 revenue of $455M (+36.6% YoY) driven by Technical Services outperformance. Q2 2026 revenue was $460.9M with net income recovering to $12.1M. Market cap approximately $1.4B.</w:t>
      </w:r>
    </w:p>
    <w:p>
      <w:r>
        <w:rPr>
          <w:rFonts w:ascii="Calibri" w:hAnsi="Calibri"/>
          <w:b/>
          <w:color w:val="6E8450"/>
          <w:sz w:val="18"/>
        </w:rPr>
        <w:t>5,000 Employees · https://www.rpc.net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RPC has incrementally expanded its Technical Services capabilities through the Platinum Pressure Pumping acquisition and investment in Tier IV dual fuel frac fleets, but these represent capacity additions and industry-standard equipment upgrades rather than transformative product launches or business model pivots [1]. The 36.6% Q1 2026 YoY revenue growth was driven primarily by acquired capacity and favorable completions activity, not proprietary innovation. AI Deployment (0/2): No evidence of AI-powered products or services shipping to customers, and no reported internal AI-driven cost savings or efficiency gains [4]. RPC has not articulated an AI strategy in earnings calls or investor materials. Market Share (0/2): RPC operates 10 hydraulic fracturing fleets in the Permian, making it a mid-tier participant in a fragmented market dominated by Halliburton, SLB, and Liberty Energy, each with significantly larger fleet counts and broader geographic reach [1]. Product Pipeline (0/2): No specific next-generation products announced with named launch dates or revenue visibility; general references to technology investment in equipment modernization but nothing concrete beyond current fleet operations. R&amp;D Intensity (0/1): Oilfield services companies typically do not disclose R&amp;D spending separately, and RPC shows no evidence of above-peer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RPC's public materials describe the company as providing 'a broad range of specialized oilfield services and equipment,' which is a functional description rather than a purpose statement [5]. No distinctive mission, vision, or purpose statement was found on the company website that articulates why RPC exists beyond serving oil and gas customers. This is generic and interchangeable with any oilfield services peer. Community Impact (0/2): No evidence of significant charitable programs, foundation activities, or community investment beyond standard corporate practices. The company's sustainability report focuses on ESG documentation rather than demonstrating distinctive community impact [5]. Employee Retention (0/2): Glassdoor ratings of 3.3 for culture and values, 2.9 for career opportunities, and only 42% positive business outlook suggest below-average employee sentiment [4]. No specific retention or tenure data available. Insider Buying (0/2): No evidence of meaningful net insider buying by executives identified in available filings. The Rollins family maintains controlling ownership but no recent open-market purchases were documented.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RPC's balance sheet is exceptionally clean with D/E of just 7%, scoring a perfect 1.0 — the Rollins family's conservative financial management keeps leverage minimal [3]. Revenue growth YoY of 36.6% and Forward P/E of 19.42 both score at or above target [1][3]. However, profitability metrics drag the score significantly: ROE of 4.41% (score 0.29 vs 15% target) and profit margin of 6.46% (score 0.32 vs 20% target) reflect the capital-intensive, low-margin nature of oilfield services [3]. Dividend metrics are mixed: consecutive years paid scores perfectly (20+ year history at 2x weight), but payout ratio of 109% exceeds the 100% floor (score 0.0), consecutive years of growth is 0, and 5yr dividend growth CAGR is 0% (score 0.0 at 2x weight) [2]. The flat $0.04/quarter dividend with earnings barely covering the payout is a structural weakness. Liquidity floor easily cleared at ~$19.6M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RPC operates as a classic cyclical oilfield services company playing a finite game — optimizing for commodity cycles rather than building toward a durable purpose. Under Rollins family control, the company has maintained a conservative balance sheet (D/E 7%) through multiple downturns, which shows some long-term thinking, but strategic decisions are driven by market conditions and capacity utilization rather than by a compelling vision of the future. No Just Cause exists beyond serving oil and gas customers, and employee sentiment metrics suggest an average-at-best organizational culture. The company has shown incremental flexibility through acquisitions and service line expansion but has never fundamentally reinvented itself.</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RPC exists to provide oilfield services and equipment for profit. No mission, vision, or purpose statement articulates a future state the company is building toward [5]. Strategic communications focus on fleet count, utilization, and revenue growth — purely finite-game metrics. The Rollins family's multi-generational ownership provides stability but has not produced a distinctive organizational purpose that would qualify as a Just Cause under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RPC maintains a stable workforce of approximately 5,000 employees with consistent Rollins family leadership providing organizational continuity [4]. However, Glassdoor ratings of 3.3 for culture and values and only 42% positive business outlook indicate employee sentiment is below average. The 2.9 score for career opportunities suggests limited growth pathways. No evidence of exceptional trust, empowerment, or cultural practices that create psychological safety. Adequate for the oilfield services industry but nothing that would differentiate the company as a talent magnet.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RPC's competitive positioning focuses on fleet count, geographic presence, and service capabilities relative to larger competitors like Halliburton, SLB, and Liberty Energy [1]. No management commentary was found that acknowledges learning from competitors' strengths or frames competition as motivation for self-improvement. The standard oilfield services competitive posture is oriented toward market share and utilization metrics — a finite game.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RPC has evolved from a pure pressure pumping company to a more diversified technical services portfolio over the past decade, adding coiled tubing, cementing, downhole tools, and nitrogen services [1]. The Platinum Pressure Pumping acquisition demonstrates willingness to adapt capacity and capabilities. However, these are incremental adjacency moves within oilfield services, not transformative reinventions. The company has not fundamentally changed its business model or entered entirely new markets.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Rollins family's decision to maintain minimal debt (D/E 7%) through multiple severe oil price downturns — including 2015-2016 and 2020 — while competitors loaded up on leverage demonstrates disciplined, contrarian financial management [3]. Continuing to invest in fleet expansion and the Platinum acquisition during industry uncertainty shows willingness to deploy capital counter-cyclically. However, these decisions reflect conservative stewardship rather than bold long-term bets that sacrifice near-term results for transformative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RPC offers a clean balance sheet (D/E 7%) and deep Permian Basin exposure through 10 hydraulic fracturing fleets at a modest Forward P/E of 19.42x [3]. The Q1 2026 revenue surge of 36.6% YoY to $455M — the fastest growth among oilfield services peers — demonstrates the company's Technical Services segment gaining traction through the Platinum Pressure Pumping acquisition and strong completions activity [1]. Q2 2026 showed continued sequential improvement with revenue of $460.9M and net income recovering to $12.1M from just $0.9M in Q1 [2]. The Rollins family's conservative management style provides downside protection through cycles, and the Inspire Impact Score of 45 (ALIGNED) with zero negative attributions makes RES accessible to faith-based investors seeking energy exposure.</w:t>
      </w:r>
    </w:p>
    <w:p>
      <w:pPr>
        <w:spacing w:after="120"/>
      </w:pPr>
      <w:r>
        <w:rPr>
          <w:rFonts w:ascii="Calibri" w:hAnsi="Calibri"/>
          <w:b w:val="0"/>
          <w:color w:val="3A4A28"/>
          <w:sz w:val="20"/>
        </w:rPr>
        <w:t>The bear case is compelling: RPC is a small-cap, low-margin oilfield services company operating in a structurally challenging industry with minimal competitive differentiation. Profit margin of 6.46% and ROE of 4.41% are far below investment-grade targets, reflecting the capital-intensive, commoditized nature of pressure pumping [3]. The dividend payout ratio of 109% exceeds earnings, making the $0.16/year payment unsustainable without improvement in profitability — and with zero years of dividend growth and 0% 5yr CAGR, the income proposition is stagnant [2]. The negative PEG ratio of -0.26 signals that analysts expect earnings to decline, potentially compressing the Forward P/E further. RPC faces structural headwinds from digital oilfield adoption, where AI-powered analytics and autonomous equipment could reduce demand for traditional labor-intensive services over time. With no innovation pipeline, no AI strategy, and below-average employee satisfaction (Glassdoor 3.3), the company lacks the capabilities to navigate an evolving energy services landscape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Permian Basin completions activity driving Technical Services revenue above the $460M/quarter run rate, with potential for EBITDA margin recovery from the depressed 11.8% level as acquisition integration matures and pricing stabilizes [1]</w:t>
      </w:r>
    </w:p>
    <w:p>
      <w:pPr>
        <w:spacing w:before="40" w:after="40"/>
        <w:ind w:left="283"/>
      </w:pPr>
      <w:r>
        <w:rPr>
          <w:rFonts w:ascii="Calibri" w:hAnsi="Calibri"/>
          <w:b/>
          <w:color w:val="4A6B25"/>
          <w:sz w:val="20"/>
        </w:rPr>
        <w:t xml:space="preserve">2. </w:t>
      </w:r>
      <w:r>
        <w:rPr>
          <w:rFonts w:ascii="Calibri" w:hAnsi="Calibri"/>
          <w:b w:val="0"/>
          <w:color w:val="3A4A28"/>
          <w:sz w:val="20"/>
        </w:rPr>
        <w:t>AI data center buildout increasing electricity demand and driving incremental U.S. drilling and completions activity, which would directly benefit RPC's Permian-focused fleet operations [1]</w:t>
      </w:r>
    </w:p>
    <w:p>
      <w:pPr>
        <w:spacing w:before="40" w:after="40"/>
        <w:ind w:left="283"/>
      </w:pPr>
      <w:r>
        <w:rPr>
          <w:rFonts w:ascii="Calibri" w:hAnsi="Calibri"/>
          <w:b/>
          <w:color w:val="4A6B25"/>
          <w:sz w:val="20"/>
        </w:rPr>
        <w:t xml:space="preserve">3. </w:t>
      </w:r>
      <w:r>
        <w:rPr>
          <w:rFonts w:ascii="Calibri" w:hAnsi="Calibri"/>
          <w:b w:val="0"/>
          <w:color w:val="3A4A28"/>
          <w:sz w:val="20"/>
        </w:rPr>
        <w:t>Potential for the Rollins family to pursue strategic alternatives (sale or merger) given the company's clean balance sheet and undervaluation relative to larger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Oil price decline below $60/bbl WTI would trigger rapid completions activity reduction in the Permian Basin, cratering utilization for RPC's 10 frac fleets and compressing margins from already-thin levels [1]</w:t>
      </w:r>
    </w:p>
    <w:p>
      <w:pPr>
        <w:spacing w:before="40" w:after="40"/>
        <w:ind w:left="283"/>
      </w:pPr>
      <w:r>
        <w:rPr>
          <w:rFonts w:ascii="Calibri" w:hAnsi="Calibri"/>
          <w:b/>
          <w:color w:val="4A6B25"/>
          <w:sz w:val="20"/>
        </w:rPr>
        <w:t xml:space="preserve">2. </w:t>
      </w:r>
      <w:r>
        <w:rPr>
          <w:rFonts w:ascii="Calibri" w:hAnsi="Calibri"/>
          <w:b w:val="0"/>
          <w:color w:val="3A4A28"/>
          <w:sz w:val="20"/>
        </w:rPr>
        <w:t>Digital oilfield adoption by E&amp;P customers — AI-powered frac optimization, autonomous equipment, predictive maintenance — reducing demand for traditional labor-intensive services and pressuring RPC's revenue per fleet [4]</w:t>
      </w:r>
    </w:p>
    <w:p>
      <w:pPr>
        <w:spacing w:before="40" w:after="40"/>
        <w:ind w:left="283"/>
      </w:pPr>
      <w:r>
        <w:rPr>
          <w:rFonts w:ascii="Calibri" w:hAnsi="Calibri"/>
          <w:b/>
          <w:color w:val="4A6B25"/>
          <w:sz w:val="20"/>
        </w:rPr>
        <w:t xml:space="preserve">3. </w:t>
      </w:r>
      <w:r>
        <w:rPr>
          <w:rFonts w:ascii="Calibri" w:hAnsi="Calibri"/>
          <w:b w:val="0"/>
          <w:color w:val="3A4A28"/>
          <w:sz w:val="20"/>
        </w:rPr>
        <w:t>Dividend sustainability risk with payout ratio at 109% of earnings; continued profitability weakness could force a dividend cut, removing the income thesis and triggering selling from yield-oriented investors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RPC's core business — hydraulic fracturing, coiled tubing, cementing, and downhole tools — involves physical-world operations that AI cannot structurally displace [1]. Equipment must be transported to wellsites, crews must operate heavy machinery, and the completion process requires on-the-ground execution that no AI system can substitute. Energy demand growth from AI data center buildouts could increase drilling activity, providing a tailwind. However, the 'digital oilfield' trend — AI-powered analytics for frac optimization, autonomous equipment operation, and predictive maintenance — presents moderate substitution risk for traditional labor-intensive service models over the medium term [4]. Competitors investing in digital capabilities could erode RPC's competitive position if the company fails to adopt. Analysts have flagged that 'technological disruption requires continuous adaptation' for traditional service providers. AI Opportunity (0/1): RPC does not generate revenue from AI-related products or services and has not articulated plans to commercialize AI-powered oilfield solutions.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RPC Q1 2026 Earnings Release — Revenue $455M (+36.6% YoY), Technical Services led growth, EBITDA margin 11.8%, Net Income $0.855M, May 2026</w:t>
      </w:r>
    </w:p>
    <w:p>
      <w:pPr>
        <w:spacing w:before="20" w:after="20"/>
        <w:ind w:left="170"/>
      </w:pPr>
      <w:r>
        <w:rPr>
          <w:rFonts w:ascii="Calibri" w:hAnsi="Calibri"/>
          <w:b/>
          <w:color w:val="4A6B25"/>
          <w:sz w:val="15"/>
        </w:rPr>
        <w:t xml:space="preserve">2. </w:t>
      </w:r>
      <w:r>
        <w:rPr>
          <w:rFonts w:ascii="Calibri" w:hAnsi="Calibri"/>
          <w:b w:val="0"/>
          <w:color w:val="3A4A28"/>
          <w:sz w:val="17"/>
        </w:rPr>
        <w:t>RPC Q2 2026 Earnings Release — Revenue $460.9M (+1% QoQ), Net Income $12.1M, Regular Quarterly Dividend of $0.04/share Declared, July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GuruFocus — RES Key Statistics: Forward PE 19.42x, D/E 7%, ROE 4.41%, Profit Margin 6.46%, Stock Price $6.53,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Comparably — RPC Inc Employee Reviews: 3.3 Culture Rating, 64% CEO Approval, 42% Positive Outlook, 2.9 Career Opportunities,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RPC Inc Corporate Website and Sustainability Report — ESG documentation and company profile, rpc.net,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