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RGLD</w:t>
      </w:r>
      <w:r>
        <w:rPr>
          <w:rFonts w:ascii="Calibri" w:hAnsi="Calibri"/>
          <w:b/>
          <w:color w:val="1A2010"/>
          <w:sz w:val="40"/>
        </w:rPr>
        <w:t xml:space="preserve">  Royal Gold, Inc.</w:t>
      </w:r>
    </w:p>
    <w:p>
      <w:pPr>
        <w:spacing w:after="120"/>
      </w:pPr>
      <w:r>
        <w:rPr>
          <w:rFonts w:ascii="Calibri" w:hAnsi="Calibri"/>
          <w:b/>
          <w:color w:val="6E8450"/>
          <w:sz w:val="18"/>
        </w:rPr>
        <w:t>GROWTH SLEEVE · 2026-09-28 · Inspire: 42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Gold · NASDAQ · United States</w:t>
      </w:r>
    </w:p>
    <w:p>
      <w:pPr>
        <w:spacing w:after="80"/>
      </w:pPr>
      <w:r>
        <w:rPr>
          <w:rFonts w:ascii="Calibri" w:hAnsi="Calibri"/>
          <w:b w:val="0"/>
          <w:color w:val="3A4A28"/>
          <w:sz w:val="20"/>
        </w:rPr>
        <w:t>Royal Gold is one of the world's leading precious metals royalty and streaming companies, acquiring and managing royalty and stream interests in gold, silver, copper, and other metal mining operations globally. The company does not operate mines — it provides upfront financing to miners in exchange for contractual rights to a percentage of future production at discounted prices. In 2025, Royal Gold completed a transformative $4.1B acquisition of Sandstorm Gold and Horizon Copper and a $1.0B stream at the Kansanshi copper-gold mine, driving record FY2025 revenue of $1.0B (+43% YoY). Q1 2026 delivered record quarterly revenue of $469M (+143% YoY) with earnings of $281M (+148%). Market cap is approximately $21.4B.</w:t>
      </w:r>
    </w:p>
    <w:p>
      <w:r>
        <w:rPr>
          <w:rFonts w:ascii="Calibri" w:hAnsi="Calibri"/>
          <w:b/>
          <w:color w:val="6E8450"/>
          <w:sz w:val="18"/>
        </w:rPr>
        <w:t>80 Employees · https://www.royalgold.com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Royal Gold executed a transformative business expansion in 2025 — the $4.1B acquisition of Sandstorm Gold and Horizon Copper, combined with a $1.0B stream agreement at Kansanshi, effectively doubled the company's revenue base and diversified beyond pure precious metals into copper [1]. FY2025 revenue reached a record $1.0B (+43% YoY), and Q1 2026 revenue surged 143% to $469M with earnings up 148%. This represents a significant strategic expansion that opened new revenue streams across metals and geographies. AI Deployment (0/2): No AI-powered products or quantified AI-driven operational efficiencies have been disclosed [2]. As a royalty/streaming company with approximately 80 employees, AI is not a strategic technology focus. Market Share (1/2): Royal Gold is one of the three largest precious metals royalty/streaming companies globally, alongside Franco-Nevada and Wheaton Precious Metals [1]. The Sandstorm acquisition elevated Royal Gold's portfolio to over 180 royalty and stream interests worldwide. However, Franco-Nevada and Wheaton maintain larger market capitalizations and broader portfolios. Product Pipeline (1/2): The acquired Sandstorm and Horizon portfolio includes development-stage royalties and streams that will contribute incremental revenue as underlying mining projects ramp production [1]. However, specific next-generation deals with named timelines and revenue visibility are not publicly disclosed given the opportunistic nature of royalty acquisitions. R&amp;D Intensity (0/1): Royalty/streaming companies do not engage in traditional R&amp;D — the business model is financial (deploying capital for production-linked returns), not technology-based.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Royal Gold's stated approach centers on 'investment stewardship' — providing capital to responsible mining operators while conducting ESG due diligence and promoting sustainable mining practices [3]. This is clear, identifies the purpose and beneficiaries (responsible mining development), and differentiates somewhat from pure financial return maximization. However, it does not articulate a transformative vision of a future state worth sacrificing for. Community Impact (1/2): Royal Gold is a World Gold Council member endorsing Responsible Gold Mining Principles (RGMPs), commits to human rights and children's rights protections, fair labor practices, and respecting indigenous community values in host countries [3]. The company conducts ESG due diligence on all new investments and negotiates ESG contractual safeguards. These represent genuine but not distinctive community programs. Employee Retention (1/2): Royal Gold maintains a small, specialized team of approximately 80 employees with long-tenured leadership — CEO Bill Heissenbuttel brings 25+ years in mining finance and has served since January 2020 [2]. The company's lean structure suggests low turnover and specialized expertise. Insider Buying (0/2): No evidence of meaningful net insider buying by CEO or executives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 exceptional across all measured dimensions. D/E of 5.19% is negligible, reflecting Royal Gold's conservative balance sheet and equity-heavy financing model despite the $4.1B Sandstorm acquisition [4]. ROE of 13.60% scores 0.907 — modestly below the 15% target but well above the 0% floor, with 2x weight for growth stocks. Revenue growth YoY of 115.5% massively exceeds the 10% target, driven by the Sandstorm/Horizon acquisition contribution and higher precious metals prices [1]. Forward P/E of 19.62x is just below the 20x target, reflecting reasonable valuation for a high-quality royalty company. Profit margin of 48.05% is exceptional — more than double the 20% target — reflecting the inherently capital-light royalty/streaming model with no operating costs [1]. 5yr revenue CAGR and PEG ratio are unavailable and excluded. Liquidity clears: $177.3M average daily dollar volume far exceeds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Royal Gold demonstrates elements of patient, long-term capital deployment — the royalty/streaming model inherently rewards decades-long thinking since returns accrue over mine lives of 20-30+ years. The $4.1B Sandstorm acquisition and commitment to responsible mining stewardship show strategic ambition beyond short-term optimization. However, the company lacks an articulated Just Cause beyond prudent capital allocation, and its competitive orientation is returns-focused rather than purpose-driven. Sinek would recognize the long-term capital deployment discipline but question whether the company is playing an infinite game or simply playing a finite game very patiently.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Royal Gold's 'investment stewardship' approach — deploying capital to responsible mining operators while promoting ESG standards — has genuine merit but reads as a disciplined investment philosophy rather than a Just Cause in Sinek's framework [2][3]. The company does not articulate a vision of a future state worth sacrificing for; its purpose is to generate returns through royalty and stream investments. The commitment to responsible mining is admirable but does not shape strategic decisions in a way that transcends financial return optimization.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Royal Gold's lean team of approximately 80 employees with specialized expertise and long-tenured leadership suggests a stable, trust-based organization [2]. CEO Bill Heissenbuttel's 25+ year career in mining finance and orderly succession planning indicate leadership continuity. The small team size naturally fosters closer working relationships and lower organizational complexity. However, no specific evidence of exceptional trust-building practices or employee empowerment programs was identified.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Royal Gold's competitive positioning among Franco-Nevada and Wheaton Precious Metals focuses on portfolio quality and returns rather than acknowledging competitors' strengths or using rivalry for self-improvement [1]. The company's communications emphasize its own record results and portfolio growth rather than learning from rival approaches.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Royal Gold has evolved its portfolio from pure precious metals (gold and silver) into copper and other base metals through the Sandstorm Gold, Horizon Copper, and Kansanshi acquisitions [1]. This represents meaningful strategic adaptation — entering adjacent commodity markets to diversify revenue streams and capture structural demand growth in copper. However, the core business model (royalty/streaming) remains unchanged; the company expanded what it finances, not how it operates.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$4.1B Sandstorm Gold and Horizon Copper acquisition in 2025, combined with the $1.0B Kansanshi stream, represents a courageous capital deployment that substantially transformed Royal Gold's scale and diversification [1]. The deal doubled the company's revenue base and committed significant capital to a long-term thesis on copper demand. This is an example of choosing transformative growth over the safety of incremental expansion.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Royal Gold at 19.62x forward earnings delivers a rare combination of transformative growth and premium business quality — Q1 2026 revenue of $469M (+143% YoY) and earnings of $281M (+148%) demonstrate the immediate accretive impact of the Sandstorm/Horizon acquisition and Kansanshi stream [1]. The 48% profit margin reflects the capital-light royalty/streaming model where revenue flows directly to the bottom line with minimal operating costs. The 180+ royalty and stream portfolio across gold, silver, and copper provides diversification that reduces single-asset risk, and the balance sheet is exceptionally clean at 5.19% D/E. Gold prices above $2,500/oz and structural copper demand from AI data center infrastructure provide sustained commodity tailwinds. The Zacks consensus estimate of $10.26 EPS for FY2026 implies 40% earnings growth.</w:t>
      </w:r>
    </w:p>
    <w:p>
      <w:pPr>
        <w:spacing w:after="120"/>
      </w:pPr>
      <w:r>
        <w:rPr>
          <w:rFonts w:ascii="Calibri" w:hAnsi="Calibri"/>
          <w:b w:val="0"/>
          <w:color w:val="3A4A28"/>
          <w:sz w:val="20"/>
        </w:rPr>
        <w:t>The bear case centers on commodity price dependency and acquisition integration risk. Royal Gold's revenue is directly linked to gold, silver, and copper prices — a sustained decline in gold below $2,000/oz or copper below $4/lb would materially compress revenue and margins despite the cost-light model [4]. The $4.1B Sandstorm acquisition and $1.0B Kansanshi stream represent significant capital concentration in assets whose value depends on long-term commodity price assumptions; if the current precious metals and copper bull market reverses, the returns on deployed capital could disappoint. ROE of 13.60% is below the 15% target, suggesting the massive equity issuance for the Sandstorm deal has diluted returns on capital in the near term. Forward P/E of 19.62x is fair but not cheap for a commodity-linked business — any commodity downturn would compress multiples quickly. The royalty/streaming model also means Royal Gold has no operational control over the mining assets that generate its revenue, creating execution dependency on third-party operators.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Full-year contribution of Sandstorm Gold, Horizon Copper, and Kansanshi assets driving FY2026 revenue toward approximately $1.8-2.0B, with consensus EPS of $10.26 representing 40% growth over FY2025 [1]</w:t>
      </w:r>
    </w:p>
    <w:p>
      <w:pPr>
        <w:spacing w:before="40" w:after="40"/>
        <w:ind w:left="283"/>
      </w:pPr>
      <w:r>
        <w:rPr>
          <w:rFonts w:ascii="Calibri" w:hAnsi="Calibri"/>
          <w:b/>
          <w:color w:val="4A6B25"/>
          <w:sz w:val="20"/>
        </w:rPr>
        <w:t xml:space="preserve">2. </w:t>
      </w:r>
      <w:r>
        <w:rPr>
          <w:rFonts w:ascii="Calibri" w:hAnsi="Calibri"/>
          <w:b w:val="0"/>
          <w:color w:val="3A4A28"/>
          <w:sz w:val="20"/>
        </w:rPr>
        <w:t>Structural copper demand growth from AI data center construction and electrification infrastructure directly benefiting Royal Gold's copper stream portfolio (Kansanshi, Horizon Copper assets) [1]</w:t>
      </w:r>
    </w:p>
    <w:p>
      <w:pPr>
        <w:spacing w:before="40" w:after="40"/>
        <w:ind w:left="283"/>
      </w:pPr>
      <w:r>
        <w:rPr>
          <w:rFonts w:ascii="Calibri" w:hAnsi="Calibri"/>
          <w:b/>
          <w:color w:val="4A6B25"/>
          <w:sz w:val="20"/>
        </w:rPr>
        <w:t xml:space="preserve">3. </w:t>
      </w:r>
      <w:r>
        <w:rPr>
          <w:rFonts w:ascii="Calibri" w:hAnsi="Calibri"/>
          <w:b w:val="0"/>
          <w:color w:val="3A4A28"/>
          <w:sz w:val="20"/>
        </w:rPr>
        <w:t>Gold price strength above $2,500/oz providing sustained revenue and margin tailwinds across Royal Gold's 180+ precious metals royalty and stream interests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Commodity price dependency — a sustained decline in gold below $2,000/oz or copper below $4/lb would materially reduce revenue, margins, and the value of the $5.1B in capital deployed for Sandstorm, Horizon, and Kansanshi [1]</w:t>
      </w:r>
    </w:p>
    <w:p>
      <w:pPr>
        <w:spacing w:before="40" w:after="40"/>
        <w:ind w:left="283"/>
      </w:pPr>
      <w:r>
        <w:rPr>
          <w:rFonts w:ascii="Calibri" w:hAnsi="Calibri"/>
          <w:b/>
          <w:color w:val="4A6B25"/>
          <w:sz w:val="20"/>
        </w:rPr>
        <w:t xml:space="preserve">2. </w:t>
      </w:r>
      <w:r>
        <w:rPr>
          <w:rFonts w:ascii="Calibri" w:hAnsi="Calibri"/>
          <w:b w:val="0"/>
          <w:color w:val="3A4A28"/>
          <w:sz w:val="20"/>
        </w:rPr>
        <w:t>Acquisition integration risk — the transformative Sandstorm/Horizon deal added 100+ new royalty interests that require monitoring and management by a lean ~80-person organization, creating potential oversight gaps [1]</w:t>
      </w:r>
    </w:p>
    <w:p>
      <w:pPr>
        <w:spacing w:before="40" w:after="40"/>
        <w:ind w:left="283"/>
      </w:pPr>
      <w:r>
        <w:rPr>
          <w:rFonts w:ascii="Calibri" w:hAnsi="Calibri"/>
          <w:b/>
          <w:color w:val="4A6B25"/>
          <w:sz w:val="20"/>
        </w:rPr>
        <w:t xml:space="preserve">3. </w:t>
      </w:r>
      <w:r>
        <w:rPr>
          <w:rFonts w:ascii="Calibri" w:hAnsi="Calibri"/>
          <w:b w:val="0"/>
          <w:color w:val="3A4A28"/>
          <w:sz w:val="20"/>
        </w:rPr>
        <w:t>Third-party operator dependency — Royal Gold has no control over mining operations that generate its revenue; operator failures, mine closures, permitting delays, or environmental incidents at key assets like Pueblo Viejo, Peñasquito, or Kansanshi would directly impact Royal Gold's cash flows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Royal Gold's business model — collecting contractual royalty and stream payments from physical mining operations — is structurally immune to AI disruption [2]. AI cannot substitute for the physical extraction of gold, silver, and copper from the earth, nor can it replicate the legal contractual rights that Royal Gold holds to production from 180+ mining interests worldwide. The royalty/streaming model involves no operational activities that AI could displace. Furthermore, AI is a net demand driver for the metals Royal Gold streams — copper demand is accelerating due to AI data center power infrastructure, and gold benefits from monetary policy uncertainty amplified by AI-driven economic transformation. Analysts have identified zero AI substitution risk for the royalty/streaming business model. AI Opportunity (1/1): Royal Gold generates indirect AI-enabled revenue through copper streams — the Kansanshi $1.0B stream and Horizon Copper assets benefit directly from AI-driven copper demand growth for data center construction, electrical infrastructure, and semiconductor packaging [1]. While Royal Gold does not sell AI products, its copper revenue stream is structurally linked to AI infrastructure buildout.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Royal Gold FY2025 Results and Q1 2026 Earnings — Record FY2025 Revenue $1.0B (+43%), Q1 2026 Revenue $469M (+143%), Earnings $281M (+148%), $4.1B Sandstorm/Horizon Acquisition, $1.0B Kansanshi Stream, BusinessWire May 2026</w:t>
      </w:r>
    </w:p>
    <w:p>
      <w:pPr>
        <w:spacing w:before="20" w:after="20"/>
        <w:ind w:left="170"/>
      </w:pPr>
      <w:r>
        <w:rPr>
          <w:rFonts w:ascii="Calibri" w:hAnsi="Calibri"/>
          <w:b/>
          <w:color w:val="4A6B25"/>
          <w:sz w:val="15"/>
        </w:rPr>
        <w:t xml:space="preserve">2. </w:t>
      </w:r>
      <w:r>
        <w:rPr>
          <w:rFonts w:ascii="Calibri" w:hAnsi="Calibri"/>
          <w:b w:val="0"/>
          <w:color w:val="3A4A28"/>
          <w:sz w:val="17"/>
        </w:rPr>
        <w:t>Royal Gold Leadership and Culture — CEO Bill Heissenbuttel (since Jan 2020, 25+ yr mining finance), Executive Management Team, Simply Wall St and Company Website, 2026</w:t>
      </w:r>
    </w:p>
    <w:p>
      <w:pPr>
        <w:spacing w:before="20" w:after="20"/>
        <w:ind w:left="170"/>
      </w:pPr>
      <w:r>
        <w:rPr>
          <w:rFonts w:ascii="Calibri" w:hAnsi="Calibri"/>
          <w:b/>
          <w:color w:val="4A6B25"/>
          <w:sz w:val="15"/>
        </w:rPr>
        <w:t xml:space="preserve">3. </w:t>
      </w:r>
      <w:r>
        <w:rPr>
          <w:rFonts w:ascii="Calibri" w:hAnsi="Calibri"/>
          <w:b w:val="0"/>
          <w:color w:val="3A4A28"/>
          <w:sz w:val="17"/>
        </w:rPr>
        <w:t>Royal Gold ESG and Investment Stewardship — World Gold Council membership, RGMPs endorsement, ESG due diligence on investments, Human Rights and Community Commitments, CSRHub and SEC Proxy Filings, 2023-2026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RGLD Key Statistics: Forward P/E 19.62x, D/E 5.19%, ROE 13.60%, Profit Margin 48.05%, Stock Price $252.49, Avg Volume 702K,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