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RH</w:t>
      </w:r>
      <w:r>
        <w:rPr>
          <w:rFonts w:ascii="Calibri" w:hAnsi="Calibri"/>
          <w:b/>
          <w:color w:val="1A2010"/>
          <w:sz w:val="40"/>
        </w:rPr>
        <w:t xml:space="preserve">  RH (Restoration Hardware Holdings)</w:t>
      </w:r>
    </w:p>
    <w:p>
      <w:pPr>
        <w:spacing w:after="120"/>
      </w:pPr>
      <w:r>
        <w:rPr>
          <w:rFonts w:ascii="Calibri" w:hAnsi="Calibri"/>
          <w:b/>
          <w:color w:val="6E8450"/>
          <w:sz w:val="18"/>
        </w:rPr>
        <w:t>GROWTH SLEEVE · 2026-09-30 · Inspire: 48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United States</w:t>
      </w:r>
    </w:p>
    <w:p>
      <w:pPr>
        <w:spacing w:after="80"/>
      </w:pPr>
      <w:r>
        <w:rPr>
          <w:rFonts w:ascii="Calibri" w:hAnsi="Calibri"/>
          <w:b w:val="0"/>
          <w:color w:val="3A4A28"/>
          <w:sz w:val="20"/>
        </w:rPr>
        <w:t>RH operates as the leading luxury home furnishings company, offering products across furniture, lighting, textiles, bathware, and decor through immersive multi-story design galleries, source books, and digital channels. Under CEO Gary Friedman (24 years at the company, CEO since 2014), RH has expanded into hospitality (RH Guesthouse), dining (RH Restaurant), experiential retail, and the new RH Estates concept. Q2 CY2026 delivered $922.2M revenue (+2.6% YoY) with adjusted EPS of $2.70, crushing the $0.46 consensus estimate. FY2026 guidance raised to 5.5-7% revenue growth with 15-16.2% adjusted EBITDA margin. Market cap approximately $2.3B.</w:t>
      </w:r>
    </w:p>
    <w:p>
      <w:r>
        <w:rPr>
          <w:rFonts w:ascii="Calibri" w:hAnsi="Calibri"/>
          <w:b/>
          <w:color w:val="6E8450"/>
          <w:sz w:val="18"/>
        </w:rPr>
        <w:t>7,000 Employees · https://rh.com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RH has executed a genuine business model transformation, converting from traditional small-format mall-based retail stores to massive immersive design galleries — multi-story showrooms integrating restaurants, wine vaults, and rooftop gardens — while expanding into hospitality (RH Guesthouse New York, 2022) and launching the RH Estates concept for Q4 2026 [1][2]. Revenue recovered from $3.03B trough (FY2024) to $3.45B TTM with guidance for 5.5-7% FY2026 growth. AI Deployment (0/2): No evidence of AI-powered products or quantifiable AI-driven operational savings. Friedman explicitly avoids digital marketing trends including social media, and RH remains a physical luxury goods and experiential retail business with no disclosed AI initiatives [2]. Market Share (2/2): RH is the dominant luxury home furnishings brand in North America, occupying a distinctive category position with no publicly traded competitor of comparable scale and luxury positioning at the $3.4B revenue level [1]. The gallery format and lifestyle ecosystem strategy have created a category of one in luxury home. Product Pipeline (1/2): Q4 CY2026 guidance of 16-21% revenue growth is driven by specific catalysts: RH Estates contributing 8 points, backlog reduction 6.5 points, and new galleries 4 points, providing concrete near-term pipeline visibility [1]. International gallery expansion in Europe is planned but timelines remain vague. R&amp;D Intensity (0/1): Not a traditional R&amp;D business; investment is directed toward design, product development, and gallery construction rather than technology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RH's vision — to 'create an endless reflection of hope, inspiration, passion, and love that will ignite the human spirit and change the world' — is distinctively aspirational for a home furnishings company, reflecting genuine intentionality under Friedman's 24-year stewardship [2]. The gallery concept, hospitality expansion, refusal of social media marketing, and ecosystem strategy are tangible expressions of this vision. It differentiates sharply from peers and connects luxury design to experiential transformation. However, it remains deeply personal to Friedman and untested through a leadership transition. Community Impact (0/2): Standard ESG programs covering environmental sustainability, product safety, responsible sourcing, and philanthropy, but no distinctive large-scale charitable programs or specific dollar commitments to community investment were identified [3]. Employee Retention (0/2): No publicly available data on employee tenure, voluntary turnover, or mission-driven retention. The company's culture is heavily associated with Friedman's singular creative authority. Insider Buying (0/2): CEO Gary Friedman has been a consistent net seller of equity; no meaningful net insider buying by executives was identified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CY2026 delivered adjusted EPS of $2.70 versus consensus $0.46, a massive profitability beat that reshaped the forward earnings outlook, and management raised FY2026 guidance to 5.5-7% revenue growth with 15-16.2% adjusted EBITDA margin [1]. Forward P/E of 14.03x is well below the 20x target (score 1.0), reflecting the recalibrated earnings expectations. ROE of 280.72% technically scores 1.0 but is distorted by minimal stockholders' equity from aggressive share buybacks; this metric overstates actual return on invested capital [3]. D/E of 3413.92% scores 0.0 (well above the 300% floor), reflecting $4B+ in debt against near-zero equity — the balance sheet's principal risk factor. Revenue growth YoY of 2.6% is below the 10% target (score 0.75), and the 5-year revenue CAGR of ~3% reflects the 2022-2024 contraction from the $3.76B peak. Profit margin of 3.23% remains thin versus the 20% target (score 0.16), though adjusted EBITDA margins of 15-16% better reflect operating economics. PEG of ~0.84 based on 16.8% earnings growth scores 1.0 (2x weight). The stock clears the liquidity floor with ~$93.3M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RH under Gary Friedman is one of the most compelling infinite game case studies in retail — a company that has fundamentally reinvented itself from a $350M near-bankrupt mall retailer to a $3B+ luxury lifestyle ecosystem, driven by a consistent creative vision maintained over 24 years through multiple market cycles. Friedman's willingness to make costly long-term bets (massive gallery investments, hospitality expansion, refusal of social media, persisting through a 20% revenue decline) demonstrates genuine Sinek-style courage. The principal risk to the infinite game thesis is extreme key-person concentration: Friedman IS the cause, and no succession plan or institutionalized purpose is evident to survive his departure.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RH has a genuine, distinctive purpose that connects luxury home design to experiential transformation and human inspiration. Friedman's vision — manifested in the gallery format, hospitality expansion, RH Estates, and the refusal of social media marketing — has shaped strategic decisions for two decades [2]. The vision survived the 2022-2023 housing downturn (20% revenue decline) with Friedman maintaining gallery investments and the luxury ecosystem strategy rather than retreating to discount pricing or cost-cutting. However, the cause is deeply personal to Friedman and has not been tested through a leadership transition; Sinek would question whether it endures beyond the founder.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RH's organizational culture is centered on Friedman's singular creative authority — he holds the titles Chairman, CEO, Creator, and Curator [2]. His distinctive leadership style (10-hour 'adventures' with executives, aversion to formal meetings, 'I yell at the problem not the people' philosophy) creates an unconventional high-intensity environment. Friedman's 24-year tenure provides cultural consistency, and the company has not experienced major public cultural crises. However, the extreme concentration of creative authority in one person raises Sinek-framework questions about whether the broader organization is empowered to challenge, innovate independently, or sustain the culture beyond Friedman.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Friedman's competitive philosophy consistently focuses on creating a 'category of one' through differentiation rather than defeating specific competitors [2]. His stated approach — 'You can't be a leader if you follow the crowd' — frames competition as motivation to create something distinctive rather than a market share war. RH positions itself as occupying a unique space in luxury that traditional furniture retailers and digital-first brands cannot replicate, using competitive dynamics as inspiration for self-improvement rather than destruction.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RH is a textbook example of Sinek's existential flexibility. Under Friedman, the company abandoned its entire previous business model — mall-based small-format retail stores — and fundamentally reinvented itself as a luxury lifestyle ecosystem with massive multi-story galleries, hospitality venues (RH Guesthouse), restaurants, and now RH Estates [2]. The pivot from a $350M near-bankrupt mall retailer to a $3B+ luxury brand required abandoning everything that previously defined the company. This transformation was driven by creative vision (the cause), not desperation, and is one of the most dramatic business model reinventions in American retail history.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Friedman demonstrates a consistent pattern of costly long-term bets in service of the vision. Building $50M+ immersive galleries when conventional retail was 'dying' and analysts urged digital-first strategies. Refusing social media marketing entirely despite the industry standard, sacrificing marketing reach for brand integrity [2]. Entering luxury hospitality (RH Guesthouse) at massive capital expense with uncertain returns. Persisting with the gallery strategy and luxury positioning through a 20% revenue contraction (FY2022-FY2024) rather than discounting or retreating [1]. These decisions repeatedly chose long-term vision over short-term financial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RH is executing a dramatic profitability inflection — Q2 CY2026 adjusted EPS of $2.70 crushed the $0.46 consensus by 487%, and management raised FY2026 guidance to 5.5-7% revenue growth with 15-16.2% adjusted EBITDA margin [1]. At 14.03x forward earnings and a PEG of ~0.84, the stock is priced at an attractive discount to the luxury consumer sector. Q4 CY2026 guidance of 16-21% revenue growth — driven by RH Estates (8 points), backlog reduction (6.5 points), and new galleries (4 points) — signals a major growth acceleration. Friedman's 24-year transformation of RH from a near-bankrupt mall retailer to a $3.4B luxury lifestyle ecosystem demonstrates visionary execution, and the gallery model creates physical-world barriers to entry that e-commerce competitors cannot replicate. The Inspire Impact Score of 48 (ALIGNED) with 11 positive attributions supports faith-based allocation.</w:t>
      </w:r>
    </w:p>
    <w:p>
      <w:pPr>
        <w:spacing w:after="120"/>
      </w:pPr>
      <w:r>
        <w:rPr>
          <w:rFonts w:ascii="Calibri" w:hAnsi="Calibri"/>
          <w:b w:val="0"/>
          <w:color w:val="3A4A28"/>
          <w:sz w:val="20"/>
        </w:rPr>
        <w:t>The bear case centers on extreme financial leverage and key-person risk. RH carries D/E of 3414% with ~$4B in debt against near-zero stockholders' equity — the result of aggressive share buybacks that leave essentially no equity cushion in a downturn [3]. GAAP profit margin of just 3.23% means the company operates near breakeven after interest expense, despite healthy 15-16% adjusted EBITDA margins. The business is acutely cyclical, tied to luxury housing activity, and revenue still sits 8% below the $3.76B FY2022 peak after a multi-year contraction. Gary Friedman holds the titles Chairman, CEO, Creator, and Curator with no evident succession plan — the company's value proposition, culture, and strategic direction are concentrated in one person with no institutional continuity mechanism [2]. Friedman's insider selling further undermines the conviction narrative. The stock has declined from $265 to $122 over the past year, and while the Q2 EPS beat improved sentiment, sustained execution through the housing cycle remains unproven.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Q4 CY2026 revenue growth guidance of 16-21% driven by RH Estates launch (8 points of growth), backlog reduction (6.5 points), and new gallery openings (4 points) — if executed, this would represent the strongest quarterly growth since FY2022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validated by Q2 adjusted EPS of $2.70 versus $0.46 consensus — if 15-16% adjusted EBITDA margins sustain, the 14x forward PE offers significant re-rating potential versus luxury consumer peers at 20-30x</w:t>
      </w:r>
    </w:p>
    <w:p>
      <w:pPr>
        <w:spacing w:before="40" w:after="40"/>
        <w:ind w:left="283"/>
      </w:pPr>
      <w:r>
        <w:rPr>
          <w:rFonts w:ascii="Calibri" w:hAnsi="Calibri"/>
          <w:b/>
          <w:color w:val="4A6B25"/>
          <w:sz w:val="20"/>
        </w:rPr>
        <w:t xml:space="preserve">3. </w:t>
      </w:r>
      <w:r>
        <w:rPr>
          <w:rFonts w:ascii="Calibri" w:hAnsi="Calibri"/>
          <w:b w:val="0"/>
          <w:color w:val="3A4A28"/>
          <w:sz w:val="20"/>
        </w:rPr>
        <w:t>Housing market recovery driving demand acceleration across the gallery network, with interest rate normalization unlocking pent-up demand in luxury home furnishings from high-income buyers who deferred purchases during 2023-2025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(D/E 3414%, ~$4B debt, near-zero equity) with 3.23% GAAP profit margin creates existential risk if housing demand deteriorates or interest rates remain elevated — no equity cushion exists [3]</w:t>
      </w:r>
    </w:p>
    <w:p>
      <w:pPr>
        <w:spacing w:before="40" w:after="40"/>
        <w:ind w:left="283"/>
      </w:pPr>
      <w:r>
        <w:rPr>
          <w:rFonts w:ascii="Calibri" w:hAnsi="Calibri"/>
          <w:b/>
          <w:color w:val="4A6B25"/>
          <w:sz w:val="20"/>
        </w:rPr>
        <w:t xml:space="preserve">2. </w:t>
      </w:r>
      <w:r>
        <w:rPr>
          <w:rFonts w:ascii="Calibri" w:hAnsi="Calibri"/>
          <w:b w:val="0"/>
          <w:color w:val="3A4A28"/>
          <w:sz w:val="20"/>
        </w:rPr>
        <w:t>Key-person concentration in Gary Friedman (Chairman, CEO, Creator, Curator) with no evident succession plan — the entire brand identity, strategic vision, and competitive positioning depend on one individual whose insider selling undermines long-term conviction signaling [2]</w:t>
      </w:r>
    </w:p>
    <w:p>
      <w:pPr>
        <w:spacing w:before="40" w:after="40"/>
        <w:ind w:left="283"/>
      </w:pPr>
      <w:r>
        <w:rPr>
          <w:rFonts w:ascii="Calibri" w:hAnsi="Calibri"/>
          <w:b/>
          <w:color w:val="4A6B25"/>
          <w:sz w:val="20"/>
        </w:rPr>
        <w:t xml:space="preserve">3. </w:t>
      </w:r>
      <w:r>
        <w:rPr>
          <w:rFonts w:ascii="Calibri" w:hAnsi="Calibri"/>
          <w:b w:val="0"/>
          <w:color w:val="3A4A28"/>
          <w:sz w:val="20"/>
        </w:rPr>
        <w:t>Luxury housing cycle sensitivity with revenue still 8% below the $3.76B FY2022 peak — the 16-21% Q4 growth guidance requires flawless execution on RH Estates, backlog clearance, and new galleries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RH's core business is deeply rooted in the physical world — curating and selling luxury furniture, textiles, and lighting through immersive multi-story design galleries, and operating hospitality venues including restaurants and guesthouses [2]. AI cannot replicate the tactile, experiential nature of luxury home furnishings shopping or the craftsmanship of high-end furniture. Interior design advisory services face some exposure to AI-powered design tools (AI room planners, virtual staging), but RH's value proposition centers on curated taste, physical experience, and aspirational lifestyle — dimensions that AI cannot easily commoditize. Analysts have not flagged AI as a meaningful risk to RH's business model. AI Opportunity (0/1): No evidence of AI-generated revenue. RH has not disclosed AI-powered products, services, or meaningful AI-driven operational efficiencies. Friedman's explicit avoidance of social media and digital marketing conventions suggests the company is unlikely to pursue AI as a revenue driver in the near term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RH Q2 CY2026 Earnings Release — Revenue $922.2M (+2.6% YoY), Adjusted EPS $2.70 vs $0.46 Consensus, Raised FY2026 Guidance to 5.5-7% Revenue Growth, 15-16.2% EBITDA Margin, September 2026</w:t>
      </w:r>
    </w:p>
    <w:p>
      <w:pPr>
        <w:spacing w:before="20" w:after="20"/>
        <w:ind w:left="170"/>
      </w:pPr>
      <w:r>
        <w:rPr>
          <w:rFonts w:ascii="Calibri" w:hAnsi="Calibri"/>
          <w:b/>
          <w:color w:val="4A6B25"/>
          <w:sz w:val="15"/>
        </w:rPr>
        <w:t xml:space="preserve">2. </w:t>
      </w:r>
      <w:r>
        <w:rPr>
          <w:rFonts w:ascii="Calibri" w:hAnsi="Calibri"/>
          <w:b w:val="0"/>
          <w:color w:val="3A4A28"/>
          <w:sz w:val="17"/>
        </w:rPr>
        <w:t>Gary Friedman Leadership Profile — 24 Years at RH, CEO Since 2014, Gallery Transformation, No Social Media Strategy, RH Guesthouse — Fortune, Wikipedia, RH Investor Relations, 2014-2026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RH Key Statistics: Forward P/E 14.03x, D/E 3413.92%, ROE 280.72%, Profit Margin 3.23%, Stock Price $122.21,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