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RILY</w:t>
      </w:r>
      <w:r>
        <w:rPr>
          <w:rFonts w:ascii="Calibri" w:hAnsi="Calibri"/>
          <w:b/>
          <w:color w:val="1A2010"/>
          <w:sz w:val="40"/>
        </w:rPr>
        <w:t xml:space="preserve">  BRC Group Holdings, Inc.</w:t>
      </w:r>
    </w:p>
    <w:p>
      <w:pPr>
        <w:spacing w:after="120"/>
      </w:pPr>
      <w:r>
        <w:rPr>
          <w:rFonts w:ascii="Calibri" w:hAnsi="Calibri"/>
          <w:b/>
          <w:color w:val="6E8450"/>
          <w:sz w:val="18"/>
        </w:rPr>
        <w:t>GROWTH SLEEVE · 2026-09-24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Conglomerates · NASDAQ · United States</w:t>
      </w:r>
    </w:p>
    <w:p>
      <w:pPr>
        <w:spacing w:after="80"/>
      </w:pPr>
      <w:r>
        <w:rPr>
          <w:rFonts w:ascii="Calibri" w:hAnsi="Calibri"/>
          <w:b w:val="0"/>
          <w:color w:val="3A4A28"/>
          <w:sz w:val="20"/>
        </w:rPr>
        <w:t>BRC Group Holdings, Inc. (formerly B. Riley Financial, rebranded January 2026) is a diversified holding company headquartered in Los Angeles operating through Capital Markets (investment banking, institutional brokerage, direct lending), Wealth Management, Communications (magicJack VoIP, Lingo, Credo Mobile), and Consumer Products (Targus). The company is under SEC/DOJ scrutiny related to undisclosed $200.5M related-party loans to investor Brian Kahn, who has been criminally charged with securities fraud conspiracy. H1 2026 revenues of $591.2M (+44% YoY) were driven by $161M in one-time trading gains from Babcock &amp; Wilcox holdings in Q1, while normalized Q2 revenue of $239.1M showed only 6% growth. Market cap is approximately $232M.</w:t>
      </w:r>
    </w:p>
    <w:p>
      <w:r>
        <w:rPr>
          <w:rFonts w:ascii="Calibri" w:hAnsi="Calibri"/>
          <w:b/>
          <w:color w:val="6E8450"/>
          <w:sz w:val="18"/>
        </w:rPr>
        <w:t>1,380 Employees · https://www.brcgh.com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January 2026 rebrand to BRC Group Holdings and carve-out of B. Riley Securities represent corporate restructuring driven by reputational damage from the Brian Kahn scandal, not genuine innovation [1]. B. Riley Securities continues to execute deal flow in the small-cap space, but no new revenue streams have been created. AI Deployment (0/2): No evidence of AI-powered products, internal AI deployment, or quantified AI-driven cost savings across any segment; management has referenced AI efficiencies aspirationally but nothing is deployed with measurable results [2]. Market Share (1/2): B. Riley Securities maintains a meaningful niche position in small/mid-cap investment banking, and Wealth Management oversees approximately $11.9B AUM, though both face competitive pressure from larger platforms with deeper technology capabilities [1]. Product Pipeline (0/2): Plans to merge B. Riley Securities with B. Riley Wealth by year-end 2026 represent internal reorganization, not product innovation; no next-generation products or services announced with specific launch timelines. R&amp;D Intensity (0/1): Financial services conglomerate with negligible R&amp;D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BRC Group describes itself as providing 'complex growth solutions for small and middle market firms' — a generic functional description interchangeable with any mid-market financial services firm, with no articulated deeper purpose beyond transactions [2]. Community Impact (0/2): No evidence of distinctive charitable programs, corporate foundation activity, or community investment beyond standard corporate practices. Employee Retention (0/2): No publicly available employee retention, tenure, or turnover data; organizational stability is undermined by SEC investigations, CFO departure (Phillip Ahn in 2025), and material governance failures that create significant internal uncertainty [3]. Insider Buying (0/2): No evidence of meaningful net insider buying. Founder Bryant Riley is subject to SEC subpoenas over personal loan arrangements with pledged shares as collateral, and the governance cloud makes insider conviction assessment unreliable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The stock clears the liquidity floor at $3.8M daily traded value (653K avg volume x $5.78) [4]. D/E of 751.6% far exceeds the 300% floor, scoring 0 on this critical metric — though improved from prior reports as H1 2026 net income of $229.8M partially rebuilt the equity base [1]. Revenue growth YoY of 10.4% meets the 10% target, but this is inflated by $161M in one-time Q1 trading gains from Babcock &amp; Wilcox; normalized Q2 revenue growth was approximately 6% [1]. Profit margin of 38.6% TTM also reflects one-time trading gains rather than sustainable operating margins — Q2 2026 normalized margin was approximately 7.7% on $18.5M net income [1]. The 3-year revenue CAGR of approximately -1% (from $993M in 2022 to $968M in 2025) reflects structural revenue decline before the 2026 trading-gain recovery. ROE, Forward P/E, and PEG unavailable and excluded from 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BRC Group Holdings exemplifies finite-game thinking. The company's recent history is dominated by financial engineering — the Franchise Group take-private deal that generated $200.5M in undisclosed related-party loans to Brian Kahn (now criminally charged), SEC/DOJ investigations, and a reactive rebrand to distance from the B. Riley name [3]. H1 2026 profitability is driven predominantly by one-time trading gains rather than durable business building. Strategic decisions appear optimized for short-term financial maneuvering and survival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BRC Group exists to execute financial transactions and generate trading profits, with no articulated vision of a better future beyond shareholder returns [2]. The January 2026 rebrand from B. Riley Financial to BRC Group Holdings was a defensive move to shed reputational damage, not an expression of purpose. Co-CEO Bryant Riley has publicly stated that 'market disruption creates opportunities' — language oriented toward exploiting financial dislocations rather than advancing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organizational environment shows significant trust deficits. CFO Phillip Ahn departed in 2025 amid SEC scrutiny [2]. The SEC investigation into founder Bryant Riley's personal transactions with Brian Kahn — including an undisclosed $200.5M loan — raises serious questions about leadership transparency and required the Audit Committee to hire independent counsel to investigate [3]. The corporate rebrand itself signals that the organization's identity was damaged severely enough to require a new name. These governance failures erode the organizational trust foundation that Sinek considers essential.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Bryant Riley's public language emphasizes 'aggressively pursuing opportunities' created by market disruption — focused on exploiting market dislocations rather than learning from competitors or using competitive dynamics for self-improvement [2]. In the small/mid-cap banking space, competitors like Jefferies, Stifel, and Oppenheimer are framed transactionally rather than as sources of institutional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BRC Group has evolved its business model over time, expanding from a pure-play investment bank into telecom (magicJack, Lingo, United Online), consumer products (Targus), and direct lending — representing incremental strategic adaptation across multiple business lines [1]. The January 2026 rebrand and corporate restructuring demonstrate willingness to reshape the organization's identity. However, these moves were financially and reputationally motivated rather than purpose-driven, and the diversification into declining telecom assets appears opportunistic rather than strategic.</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choosing long-term investment over short-term earnings or making principled decisions at financial cost. The company's strategy of leveraged acquisitions, concentrated trading positions (Babcock &amp; Wilcox), and aggressive financial engineering is oriented toward maximizing near-term returns [1]. The dividend suspension in 2024 was forced by financial distress, not a courageous reallocation of capital toward long-term capability. The SEC investigation into undisclosed related-party transactions suggests leadership prioritized personal financial arrangements over institutional transparency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BRC Group reported headline-grabbing H1 2026 results — YTD revenues of $591.2M (+44% YoY) and net income of $229.8M (+83% YoY), with Q1 net income of $211.3M ($6.57 EPS) driven by $161M in trading gains on Babcock &amp; Wilcox holdings [1]. The stock trades at a trailing P/E of 0.47x on $12.22 trailing EPS, reflecting extreme market skepticism that creates asymmetric upside if governance issues resolve favorably. Company projects FY2026 revenue of $1.173B and FY2027 of $1.408B, suggesting management sees a path to sustainable growth. The diversified platform spanning capital markets, wealth management, telecom, and consumer products provides multiple revenue streams less correlated with any single business risk.</w:t>
      </w:r>
    </w:p>
    <w:p>
      <w:pPr>
        <w:spacing w:after="120"/>
      </w:pPr>
      <w:r>
        <w:rPr>
          <w:rFonts w:ascii="Calibri" w:hAnsi="Calibri"/>
          <w:b w:val="0"/>
          <w:color w:val="3A4A28"/>
          <w:sz w:val="20"/>
        </w:rPr>
        <w:t>The bear case is severe and multifaceted. The SEC is investigating undisclosed transactions between founder Bryant Riley and Brian Kahn — including a $200.5M related-party loan that was not disclosed to investors — exposing the company to material legal liability, potential enforcement action, and possible license revocations [3]. A class action lawsuit amplifies this exposure. D/E of 751.6% represents extreme financial leverage — while improved from prior periods as H1 earnings partially rebuilt equity, any adverse ruling or market downturn could threaten solvency. Q1 2026 earnings were driven primarily by $161M in one-time trading gains, not repeatable operating performance; Q2 normalized net income was just $18.5M [1]. Revenue declined from $1.45B in 2023 to $968M in 2025 (-33%) before the 2026 trading-gain recovery, indicating structural erosion in the core franchises. The dividend was suspended in 2024, eliminating income return for shareholders, and the corporate rebrand from B. Riley to BRC Group suggests reputational damage the company is actively trying to outrun. Legacy telecom businesses (magicJack, NetZero dial-up) face secular decline with no path to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Favorable resolution of SEC/DOJ investigations and class action lawsuit could remove the governance overhang and unlock significant multiple re-rating from the extreme 0.47x trailing P/E [3]</w:t>
      </w:r>
    </w:p>
    <w:p>
      <w:pPr>
        <w:spacing w:before="40" w:after="40"/>
        <w:ind w:left="283"/>
      </w:pPr>
      <w:r>
        <w:rPr>
          <w:rFonts w:ascii="Calibri" w:hAnsi="Calibri"/>
          <w:b/>
          <w:color w:val="4A6B25"/>
          <w:sz w:val="20"/>
        </w:rPr>
        <w:t xml:space="preserve">2. </w:t>
      </w:r>
      <w:r>
        <w:rPr>
          <w:rFonts w:ascii="Calibri" w:hAnsi="Calibri"/>
          <w:b w:val="0"/>
          <w:color w:val="3A4A28"/>
          <w:sz w:val="20"/>
        </w:rPr>
        <w:t>Revenue normalization toward the $1.17B FY2026 target and projected $1.41B FY2027 through investment banking deal pipeline and capital markets recovery would demonstrate platform viability beyond one-time trading gains [1]</w:t>
      </w:r>
    </w:p>
    <w:p>
      <w:pPr>
        <w:spacing w:before="40" w:after="40"/>
        <w:ind w:left="283"/>
      </w:pPr>
      <w:r>
        <w:rPr>
          <w:rFonts w:ascii="Calibri" w:hAnsi="Calibri"/>
          <w:b/>
          <w:color w:val="4A6B25"/>
          <w:sz w:val="20"/>
        </w:rPr>
        <w:t xml:space="preserve">3. </w:t>
      </w:r>
      <w:r>
        <w:rPr>
          <w:rFonts w:ascii="Calibri" w:hAnsi="Calibri"/>
          <w:b w:val="0"/>
          <w:color w:val="3A4A28"/>
          <w:sz w:val="20"/>
        </w:rPr>
        <w:t>Continued deleveraging from H1 2026 earnings partially rebuilding equity against $1.3B+ in debt, with monetization of concentrated investment positions generating cash to reduce the 751.6% D/E ratio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SEC/DOJ investigation into undisclosed $200.5M related-party loan with Brian Kahn entity could result in enforcement action, executive sanctions, or forced restatements that threaten the company's broker-dealer licenses and regulatory standing [3]</w:t>
      </w:r>
    </w:p>
    <w:p>
      <w:pPr>
        <w:spacing w:before="40" w:after="40"/>
        <w:ind w:left="283"/>
      </w:pPr>
      <w:r>
        <w:rPr>
          <w:rFonts w:ascii="Calibri" w:hAnsi="Calibri"/>
          <w:b/>
          <w:color w:val="4A6B25"/>
          <w:sz w:val="20"/>
        </w:rPr>
        <w:t xml:space="preserve">2. </w:t>
      </w:r>
      <w:r>
        <w:rPr>
          <w:rFonts w:ascii="Calibri" w:hAnsi="Calibri"/>
          <w:b w:val="0"/>
          <w:color w:val="3A4A28"/>
          <w:sz w:val="20"/>
        </w:rPr>
        <w:t>Extreme leverage (D/E 751.6%) with concentrated investment positions creates existential risk — a significant markdown in portfolio holdings or credit market deterioration could trigger covenant violations or a liquidity crisis, as seen in 2024-2025 [1]</w:t>
      </w:r>
    </w:p>
    <w:p>
      <w:pPr>
        <w:spacing w:before="40" w:after="40"/>
        <w:ind w:left="283"/>
      </w:pPr>
      <w:r>
        <w:rPr>
          <w:rFonts w:ascii="Calibri" w:hAnsi="Calibri"/>
          <w:b/>
          <w:color w:val="4A6B25"/>
          <w:sz w:val="20"/>
        </w:rPr>
        <w:t xml:space="preserve">3. </w:t>
      </w:r>
      <w:r>
        <w:rPr>
          <w:rFonts w:ascii="Calibri" w:hAnsi="Calibri"/>
          <w:b w:val="0"/>
          <w:color w:val="3A4A28"/>
          <w:sz w:val="20"/>
        </w:rPr>
        <w:t>Earnings quality is unreliable: 73% of H1 2026 net income ($211M of $230M) was generated in Q1 from non-repeatable trading gains, while Q2 normalized net income was only $18.5M, raising questions about sustainable earning power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BRC Group operates across financial services (investment banking, wealth management), telecom (Lingo, magicJack, Credo Mobile), and consumer products (Targus). The investment banking franchise faces moderate AI disruption — AI tools are automating research, trading, compliance, and robo-advisory functions, but relationship-driven small/mid-cap banking retains human value as institutional clients in this segment require bespoke deal structuring and negotiation that AI cannot replicate [2]. The legacy telecom segments (magicJack VoIP, NetZero dial-up) face indirect pressure from AI-enhanced communication platforms but are already in secular decline. Consumer products (Targus laptop accessories) involve physical manufacturing and distribution that AI cannot substitute. Analysts focus on governance and balance sheet risks rather than AI disruption as the primary threat [3]. AI Opportunity (0/1): No evidence of AI-generated revenue, AI products, or quantified AI-driven operational savings across any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BRC Group Holdings Q2 2026 Financial Results — YTD Revenue $591.2M (+44%), Net Income $229.8M (+83%), Q2 Revenue $239.1M, B. Riley Securities, August 2026</w:t>
      </w:r>
    </w:p>
    <w:p>
      <w:pPr>
        <w:spacing w:before="20" w:after="20"/>
        <w:ind w:left="170"/>
      </w:pPr>
      <w:r>
        <w:rPr>
          <w:rFonts w:ascii="Calibri" w:hAnsi="Calibri"/>
          <w:b/>
          <w:color w:val="4A6B25"/>
          <w:sz w:val="15"/>
        </w:rPr>
        <w:t xml:space="preserve">2. </w:t>
      </w:r>
      <w:r>
        <w:rPr>
          <w:rFonts w:ascii="Calibri" w:hAnsi="Calibri"/>
          <w:b w:val="0"/>
          <w:color w:val="3A4A28"/>
          <w:sz w:val="17"/>
        </w:rPr>
        <w:t>BRC Group Holdings Corporate Profile — Co-CEO Bryant Riley, Business Segments, Entrepreneurial Culture — Company Website and SEC 10-K/10-Q, 2025-2026</w:t>
      </w:r>
    </w:p>
    <w:p>
      <w:pPr>
        <w:spacing w:before="20" w:after="20"/>
        <w:ind w:left="170"/>
      </w:pPr>
      <w:r>
        <w:rPr>
          <w:rFonts w:ascii="Calibri" w:hAnsi="Calibri"/>
          <w:b/>
          <w:color w:val="4A6B25"/>
          <w:sz w:val="15"/>
        </w:rPr>
        <w:t xml:space="preserve">3. </w:t>
      </w:r>
      <w:r>
        <w:rPr>
          <w:rFonts w:ascii="Calibri" w:hAnsi="Calibri"/>
          <w:b w:val="0"/>
          <w:color w:val="3A4A28"/>
          <w:sz w:val="17"/>
        </w:rPr>
        <w:t>SEC Investigation, Class Action, and Governance — SEC Subpoenas (July 2024, November 2024) re Brian Kahn Transactions, Undisclosed $200.5M Loan, FINRA Investigation — Bloomberg, InvestmentNews, Schubert Jonckheer,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RILY Key Statistics: Stock Price $5.78, D/E 751.6%, Profit Margin 38.6%, Trailing P/E 0.47, Avg Volume 653K,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