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RIO</w:t>
      </w:r>
      <w:r>
        <w:rPr>
          <w:rFonts w:ascii="Calibri" w:hAnsi="Calibri"/>
          <w:b/>
          <w:color w:val="1A2010"/>
          <w:sz w:val="40"/>
        </w:rPr>
        <w:t xml:space="preserve">  Rio Tinto Group</w:t>
      </w:r>
    </w:p>
    <w:p>
      <w:pPr>
        <w:spacing w:after="120"/>
      </w:pPr>
      <w:r>
        <w:rPr>
          <w:rFonts w:ascii="Calibri" w:hAnsi="Calibri"/>
          <w:b/>
          <w:color w:val="6E8450"/>
          <w:sz w:val="18"/>
        </w:rPr>
        <w:t>DIVIDEND SLEEVE · 2026-08-30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United Kingdom</w:t>
      </w:r>
    </w:p>
    <w:p>
      <w:pPr>
        <w:spacing w:after="80"/>
      </w:pPr>
      <w:r>
        <w:rPr>
          <w:rFonts w:ascii="Calibri" w:hAnsi="Calibri"/>
          <w:b w:val="0"/>
          <w:color w:val="3A4A28"/>
          <w:sz w:val="20"/>
        </w:rPr>
        <w:t>Rio Tinto is one of the world's largest diversified mining and metals companies, operating across iron ore (Pilbara, Western Australia), aluminium (global smelting and refining), copper and lithium (including the $6.7B Arcadium Lithium acquisition in 2025), and minerals (borates, titanium dioxide). New CEO Simon Trott (May 2026) restructured the company into three core product groups: iron ore, aluminium, and lithium &amp; copper. H1 2026 consolidated sales rose 15% to $31.0B with underlying earnings up 43% to $6.9B. Market cap is approximately $168B.</w:t>
      </w:r>
    </w:p>
    <w:p>
      <w:r>
        <w:rPr>
          <w:rFonts w:ascii="Calibri" w:hAnsi="Calibri"/>
          <w:b/>
          <w:color w:val="6E8450"/>
          <w:sz w:val="18"/>
        </w:rPr>
        <w:t>57,000 Employees · https://www.riotinto.com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Rio Tinto completed the transformative $6.7B Arcadium Lithium acquisition in early 2025, creating a top-five global lithium producer and positioning the company for the energy transition — a significant strategic pivot from the traditional iron ore/aluminium focus [1][2]. New CEO Simon Trott restructured the company into three product groups (iron ore, aluminium, lithium &amp; copper) in May 2026, signaling a strategic shift toward energy transition metals. The Oyu Tolgoi copper expansion in Mongolia also represents a major long-term development project. AI Deployment (1/2): Rio Tinto has invested in mining automation and AI for over a decade — autonomous trucks and trains operate across the Pilbara iron ore operations, reducing operating costs and improving safety [3]. The company has been described as a leader in mining AI with foundational investments in data infrastructure. However, specific quantified AI-driven cost savings or revenue figures are not publicly disclosed. Market Share (2/2): Rio Tinto is the second-largest iron ore producer globally (behind Vale), holds record H1 Pilbara production, and became a top-five lithium producer through the Arcadium acquisition [1]. The aluminium segment (via Alcan) is a global leader. Copper production at +8% CuEq demonstrates share gains in energy transition metals. Product Pipeline (1/2): Specific projects with timelines include the Simandou iron ore project in Guinea (massive greenfield development), Jadar lithium project in Serbia (though controversial), and the Oyu Tolgoi Block Cave expansion in Mongolia [2]. These represent tens of billions in committed capital with multi-year development horizons. R&amp;D Intensity (1/1): Rio Tinto invests meaningfully in mining technology, autonomous operations, and process innovation, with technology spending above the mining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Rio Tinto's purpose — 'producing materials essential to human progress' — is clear, specific, and connects mining to a larger societal need [4]. The purpose statement differentiates from peers by framing mining as enabling human development rather than merely extracting resources. However, the gap between stated purpose and on-the-ground execution (particularly regarding Indigenous heritage destruction) prevents a higher floor score. Community &amp; Charitable Impact (0/2): Rio Tinto's community track record is deeply marred by the 2020 destruction of the 46,000-year-old Juukan Gorge rock shelters in Western Australia, which led to the resignation of former CEO Jean-Sebastien Jacques [5]. More recently, the company faces accusations of not being transparent about environmental impacts at its 2025 Perth AGM, Indigenous water disputes, and concerns that $15B in asset sales are putting decarbonisation budgets under pressure [5]. Net community impact is negative despite stated ESG commitments. Employee Retention (0/2): No specific retention or tenure data available. Significant leadership turnover (new CEO Simon Trott in May 2026, major organizational restructuring into three product groups) creates uncertainty about workforce stability. Insider Buying (0/2): No meaningful insider buying activity identified in searches. Large mining companies typically see minimal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Rio Tinto demonstrates a fortress balance sheet with D/E of just 31.87%, well below the 70% target, reflecting conservative financial management for a capital-intensive mining company [1][6]. ROE of 19.31% exceeds the 15% target, and H1 2026 ROCE improved to 17% from 14% YoY. Revenue grew 15% YoY to $61.79B TTM as copper EBITDA surged 84% and aluminium EBITDA rose 38%, though the 5-year revenue CAGR is approximately -0.5% reflecting the cyclical decline from 2021 peak commodity prices [1][2]. Forward P/E of 12.48 is well below the 20x target, offering deep value for a diversified miner. Profit margin of 19.58% is just below the 20% target. Dividend metrics are mixed — the 4.44% yield with 20+ consecutive years of payment scores well, but the variable dividend policy (60% of earnings) produces volatile payouts with negative 5-year dividend growth CAGR from the 2021 peak, and only 2 consecutive years of growth after the commodity price recovery [1][6]. Liquidity floor cleared at ~$276M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Rio Tinto operates with a mixed infinite/finite mindset. The company's 150+ year history and stated purpose of 'producing materials essential to human progress' reflect infinite-game thinking, and the Arcadium Lithium acquisition demonstrates willingness to pivot toward energy transition metals. However, the destruction of Juukan Gorge Aboriginal heritage sites in 2020 revealed a finite-game culture that prioritized extraction economics over deeper values. The subsequent leadership turnover (two CEO changes in six years), organizational restructuring, and decision to cut decarbonisation spending while selling $15B in assets suggest a company still resolving the tension between its stated purpose and operational reality.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'Producing materials essential to human progress' is a genuine cause that connects mining to broader societal benefit — copper enables electrification, lithium enables clean energy storage, aluminium enables transportation efficiency [4]. The Arcadium acquisition demonstrates strategic decisions aligned with this cause (energy transition metals). However, the Juukan Gorge destruction in 2020 — destroying 46,000-year-old Aboriginal rock shelters for iron ore extraction — proved that the cause is subordinated to financial interests when they conflict [5]. A company with a true Just Cause would not destroy irreplaceable cultural heritage for marginal production gains. The cause exists and is partially lived, but has failed a critical test.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Rio Tinto's organizational trust has been severely damaged by the Juukan Gorge crisis and its aftermath — the incident led to the forced resignation of former CEO Jean-Sebastien Jacques and two other senior executives in 2020, revealing systemic failures in internal communication and decision-making [5]. The company is now on its second CEO in six years (Simon Trott since May 2026) with a major organizational restructuring into three product groups, creating ongoing leadership instability. At the 2025 Perth AGM, the company was accused of not being transparent with shareholders about environmental impacts, suggesting trust deficits extend beyond the workforce to stakeholder relationships [5].</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Rio Tinto competes with BHP and Vale in iron ore, Alcoa in aluminium, and Albemarle/Pilbara Minerals in lithium. The company's competitive posture focuses on operational excellence (record Pilbara production, industry-leading autonomous operations) and portfolio optimization (adding copper and lithium exposure) rather than aggressive market share warfare [1]. The Arcadium acquisition was framed as enabling better products for the energy transition, not as destroying a competitor. Management's ROCE focus (17% H1 2026) reflects a self-improvement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$6.7B Arcadium Lithium acquisition in 2025 represents meaningful strategic evolution — diversifying from iron ore dependency toward energy transition metals (copper and lithium) that position Rio Tinto for secular growth in electrification and battery storage [2]. The organizational restructuring under CEO Trott into three product groups signals commitment to this pivot. However, iron ore remains the dominant profit contributor (~46% of EBITDA) and the company has not fundamentally reinvented its business model — it remains a diversified miner, now with a more energy-transition-oriented portfolio.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$6.7B Arcadium Lithium acquisition was a bold long-term bet on energy transition metals during a period of depressed lithium prices — buying low in a cyclical industry requires conviction [2]. The commitment to the Simandou iron ore project in Guinea (multi-billion dollar greenfield development in a challenging jurisdiction) also demonstrates willingness to make long-term investments with uncertain near-term returns. However, the decision to sell $15B in assets and cut decarbonisation spending suggests finite-game capital allocation when stakeholders demand near-term returns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Rio Tinto at 12.48x forward earnings is a diversified mining compounder delivering accelerating growth — H1 2026 revenue rose 15% to $31.0B with underlying earnings surging 43% to $6.9B and operating cash flow up 32% to $9.2B, driven by record Pilbara iron ore production and an 84% surge in copper EBITDA [1]. The company offers a compelling dividend yield of 4.44% with a payout ratio of 65.5%, and the interim dividend jumped 43% to $3.4B reflecting earnings momentum. D/E of 31.87% is conservative for a capital-intensive miner, and ROCE improved to 17% from 14% YoY [1][6]. The Arcadium Lithium acquisition positions Rio Tinto as a top-five lithium producer, adding exposure to secular growth in EVs and battery storage alongside its copper expansion (+8% CuEq production growth) — making Rio Tinto one of the best-positioned miners for the energy transition [2].</w:t>
      </w:r>
    </w:p>
    <w:p>
      <w:pPr>
        <w:spacing w:after="120"/>
      </w:pPr>
      <w:r>
        <w:rPr>
          <w:rFonts w:ascii="Calibri" w:hAnsi="Calibri"/>
          <w:b w:val="0"/>
          <w:color w:val="3A4A28"/>
          <w:sz w:val="20"/>
        </w:rPr>
        <w:t>The bear case centers on commodity cyclicality, ESG liabilities, and execution risk. Iron ore remains ~46% of EBITDA and is structurally dependent on Chinese steel demand — any slowdown in Chinese construction or infrastructure spending would directly pressure Rio Tinto's largest profit center, and the 5-year revenue CAGR of -0.5% reflects this vulnerability [1][6]. The Juukan Gorge heritage destruction continues to create ESG and reputational overhang, with ongoing Indigenous water disputes and accusations of inadequate environmental impact disclosure at the 2025 AGM [5]. The decision to sell $15B in assets and cut decarbonisation spending raises questions about commitment to stated ESG goals. CEO transition risk is elevated — Simon Trott is the second CEO in six years (May 2026), inheriting a major organizational restructuring, and the company's MSCI ESG rating is only 'A' versus peers at 'AA' [5]. Lithium prices remain depressed, making the Arcadium acquisition a long-term bet with uncertain near-term returns. The Inspire Impact Score of 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Copper EBITDA surged 84% to $5.7B in H1 2026 with +8% CuEq production growth, positioning Rio Tinto to benefit from secular copper demand growth driven by AI data centers (12,000+ tonnes per GW), electrification, and grid expansion — copper could become the company's second-largest profit contributor by 2028 [1][2]</w:t>
      </w:r>
    </w:p>
    <w:p>
      <w:pPr>
        <w:spacing w:before="40" w:after="40"/>
        <w:ind w:left="283"/>
      </w:pPr>
      <w:r>
        <w:rPr>
          <w:rFonts w:ascii="Calibri" w:hAnsi="Calibri"/>
          <w:b/>
          <w:color w:val="4A6B25"/>
          <w:sz w:val="20"/>
        </w:rPr>
        <w:t xml:space="preserve">2. </w:t>
      </w:r>
      <w:r>
        <w:rPr>
          <w:rFonts w:ascii="Calibri" w:hAnsi="Calibri"/>
          <w:b w:val="0"/>
          <w:color w:val="3A4A28"/>
          <w:sz w:val="20"/>
        </w:rPr>
        <w:t>Arcadium Lithium integration creating a top-five global lithium producer, with lithium prices potentially recovering from cyclical lows as EV adoption accelerates — at cycle-average lithium prices, the $6.7B acquisition could generate $2B+ in annual EBITDA [2]</w:t>
      </w:r>
    </w:p>
    <w:p>
      <w:pPr>
        <w:spacing w:before="40" w:after="40"/>
        <w:ind w:left="283"/>
      </w:pPr>
      <w:r>
        <w:rPr>
          <w:rFonts w:ascii="Calibri" w:hAnsi="Calibri"/>
          <w:b/>
          <w:color w:val="4A6B25"/>
          <w:sz w:val="20"/>
        </w:rPr>
        <w:t xml:space="preserve">3. </w:t>
      </w:r>
      <w:r>
        <w:rPr>
          <w:rFonts w:ascii="Calibri" w:hAnsi="Calibri"/>
          <w:b w:val="0"/>
          <w:color w:val="3A4A28"/>
          <w:sz w:val="20"/>
        </w:rPr>
        <w:t>Record Pilbara iron ore production with EBITDA broadly flat at $6.8B despite flat iron ore prices, demonstrating operating leverage — any commodity price recovery would flow directly to margins given the fixed-cost structure and industry-leading $21/tonne C1 costs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Chinese steel demand slowdown would directly pressure iron ore prices and Rio Tinto's largest profit center — iron ore spot prices remain ~$100/tonne but Chinese property starts have declined 25% from peak, threatening the demand foundation for 46% of group EBITDA [1]</w:t>
      </w:r>
    </w:p>
    <w:p>
      <w:pPr>
        <w:spacing w:before="40" w:after="40"/>
        <w:ind w:left="283"/>
      </w:pPr>
      <w:r>
        <w:rPr>
          <w:rFonts w:ascii="Calibri" w:hAnsi="Calibri"/>
          <w:b/>
          <w:color w:val="4A6B25"/>
          <w:sz w:val="20"/>
        </w:rPr>
        <w:t xml:space="preserve">2. </w:t>
      </w:r>
      <w:r>
        <w:rPr>
          <w:rFonts w:ascii="Calibri" w:hAnsi="Calibri"/>
          <w:b w:val="0"/>
          <w:color w:val="3A4A28"/>
          <w:sz w:val="20"/>
        </w:rPr>
        <w:t>ESG and reputational risk from Juukan Gorge legacy, ongoing Indigenous water disputes, $15B asset sales pressuring decarbonisation budgets, and MSCI 'A' ESG rating below diversified mining peers — these issues create regulatory, legal, and investor relations overhang [5]</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with Simon Trott as the second CEO in six years, inheriting an organizational restructuring into three product groups and a portfolio pivot toward energy transition metals that requires sustained execution over a multi-year horizon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Rio Tinto's core business — physically extracting iron ore, copper, aluminium, and lithium from underground and open-pit mines — is structurally immune to AI disruption [1][3]. Mining involves massive physical infrastructure (processing plants, rail networks, ports, smelters), geological expertise, and regulatory licenses that AI cannot substitute. More importantly, AI is a demand driver for Rio Tinto's products: AI data centers require enormous quantities of copper for electrical infrastructure, aluminium for cooling systems, and lithium for battery storage — analyst estimates suggest each GW of AI data center capacity requires 12,000+ tonnes of copper [2]. Rio Tinto is essentially selling the picks and shovels of the AI revolution. The company's autonomous mining operations in the Pilbara demonstrate that AI is an enabler that reduces costs rather than a competitive threat [3]. AI Opportunity (0/1): While Rio Tinto uses AI extensively in operations (autonomous trucks, trains, drilling), the company does not generate direct revenue from AI products or services — it sells physical commodities (iron ore, copper, aluminium, lithium), not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Rio Tinto H1 2026 Results — Revenue $31.0B (+15%), Underlying Earnings $6.9B (+43%), Operating Cash Flow $9.2B (+32%), EBITDA Margin 43%, Interim Dividend $3.4B (+43%), July 2026</w:t>
      </w:r>
    </w:p>
    <w:p>
      <w:pPr>
        <w:spacing w:before="20" w:after="20"/>
        <w:ind w:left="170"/>
      </w:pPr>
      <w:r>
        <w:rPr>
          <w:rFonts w:ascii="Calibri" w:hAnsi="Calibri"/>
          <w:b/>
          <w:color w:val="4A6B25"/>
          <w:sz w:val="15"/>
        </w:rPr>
        <w:t xml:space="preserve">2. </w:t>
      </w:r>
      <w:r>
        <w:rPr>
          <w:rFonts w:ascii="Calibri" w:hAnsi="Calibri"/>
          <w:b w:val="0"/>
          <w:color w:val="3A4A28"/>
          <w:sz w:val="17"/>
        </w:rPr>
        <w:t>Rio Tinto Strategic Developments — Arcadium Lithium $6.7B Acquisition, CEO Simon Trott Restructuring, Three Product Groups, AI Magazine, Business Chief, 2025-2026</w:t>
      </w:r>
    </w:p>
    <w:p>
      <w:pPr>
        <w:spacing w:before="20" w:after="20"/>
        <w:ind w:left="170"/>
      </w:pPr>
      <w:r>
        <w:rPr>
          <w:rFonts w:ascii="Calibri" w:hAnsi="Calibri"/>
          <w:b/>
          <w:color w:val="4A6B25"/>
          <w:sz w:val="15"/>
        </w:rPr>
        <w:t xml:space="preserve">3. </w:t>
      </w:r>
      <w:r>
        <w:rPr>
          <w:rFonts w:ascii="Calibri" w:hAnsi="Calibri"/>
          <w:b w:val="0"/>
          <w:color w:val="3A4A28"/>
          <w:sz w:val="17"/>
        </w:rPr>
        <w:t>Rio Tinto AI Strategy — Autonomous Mining Operations in Pilbara, Mining AI Leadership, Data Infrastructure Investments — Klover.ai, AI Magazine, 2026</w:t>
      </w:r>
    </w:p>
    <w:p>
      <w:pPr>
        <w:spacing w:before="20" w:after="20"/>
        <w:ind w:left="170"/>
      </w:pPr>
      <w:r>
        <w:rPr>
          <w:rFonts w:ascii="Calibri" w:hAnsi="Calibri"/>
          <w:b/>
          <w:color w:val="4A6B25"/>
          <w:sz w:val="15"/>
        </w:rPr>
        <w:t xml:space="preserve">4. </w:t>
      </w:r>
      <w:r>
        <w:rPr>
          <w:rFonts w:ascii="Calibri" w:hAnsi="Calibri"/>
          <w:b w:val="0"/>
          <w:color w:val="3A4A28"/>
          <w:sz w:val="17"/>
        </w:rPr>
        <w:t>Rio Tinto Corporate Website — Purpose 'Producing Materials Essential to Human Progress', Sustainability, Company Overview,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Rio Tinto ESG Controversies — Juukan Gorge Heritage Destruction, Perth AGM Transparency Accusations, Indigenous Water Disputes, $15B Asset Sales vs Decarbonisation — ABC News, Yahoo Finance, ESG News,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RIO Key Statistics: Forward P/E 12.48, D/E 31.87%, ROE 19.31%, Profit Margin 19.58%, Dividend Yield 4.44%, Stock Price $103.30,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