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RITR</w:t>
      </w:r>
      <w:r>
        <w:rPr>
          <w:rFonts w:ascii="Calibri" w:hAnsi="Calibri"/>
          <w:b/>
          <w:color w:val="1A2010"/>
          <w:sz w:val="40"/>
        </w:rPr>
        <w:t xml:space="preserve">  Reitar Logtech Holdings Limited</w:t>
      </w:r>
    </w:p>
    <w:p>
      <w:pPr>
        <w:spacing w:after="120"/>
      </w:pPr>
      <w:r>
        <w:rPr>
          <w:rFonts w:ascii="Calibri" w:hAnsi="Calibri"/>
          <w:b/>
          <w:color w:val="6E8450"/>
          <w:sz w:val="18"/>
        </w:rPr>
        <w:t>GROWTH SLEEVE · 2026-09-21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NASDAQ · Hong Kong</w:t>
      </w:r>
    </w:p>
    <w:p>
      <w:pPr>
        <w:spacing w:after="80"/>
      </w:pPr>
      <w:r>
        <w:rPr>
          <w:rFonts w:ascii="Calibri" w:hAnsi="Calibri"/>
          <w:b w:val="0"/>
          <w:color w:val="3A4A28"/>
          <w:sz w:val="20"/>
        </w:rPr>
        <w:t>Reitar Logtech Holdings Limited provides construction management, engineering design, and asset management services primarily for cold storage facilities, automated warehouses, and logistics infrastructure in Hong Kong. The company also offers professional consultancy services and claims to pursue AI-driven logistics automation. Listed on NASDAQ in August 2024 via a Cayman Islands holding structure. Stock has declined 99% from its IPO high of $7.68 to $0.076. Market cap approximately $5 million. Filed delayed annual SEC report and disclosed internal control weaknesses.</w:t>
      </w:r>
    </w:p>
    <w:p>
      <w:r>
        <w:rPr>
          <w:rFonts w:ascii="Calibri" w:hAnsi="Calibri"/>
          <w:b/>
          <w:color w:val="6E8450"/>
          <w:sz w:val="18"/>
        </w:rPr>
        <w:t>41 Employees · https://www.reitar.io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The stock has collapsed 99% from its August 2024 IPO high of $7.68 to $0.076, with gross profit margin contracting from 15.9% in FY2025 to 7.0% in FY2026, and the company delayed its annual SEC filing due to inability to finalize financial statements [1][3]. Revenue declined 9.5% YoY with a net loss producing -68.9% profit margin. The company disclosed inadequate internal controls over financial reporting, including insufficient U.S. GAAP-trained staff. AI Deployment (0/2): The company claims to pursue 'automation, blockchain, artificial intelligence and robotics' in logistics, but with 41 employees, a $5M market cap, and internal control deficiencies, these claims appear aspirational rather than substantive [2]. No quantified AI revenue or deployment metrics exist. Market Share (0/2): Micro-cap company (~$5M market cap) with negligible market share in Hong Kong construction management and cold storage engineering, competing in highly fragmented markets [3]. Product Pipeline (1/2): The Qatar logistics partnership with NEXX and plans for Real World Asset tokenization of logistics assets show ambition, though execution capacity for a 41-person firm with collapsing financials is questionable [2]. R&amp;D Intensity (0/1): No disclosed R&amp;D spending; primarily a services company with insufficient scale for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Reitar describes itself as Asia's first 'Property-Logistics Technology solutions platform' pursuing a 'MIS' strategy (Mergers &amp; Acquisitions, Integration, and Spin-offs) — financial engineering jargon, not an inspiring purpose [2][3]. The cold chain logistics focus has some inherent social value (food safety and supply chain integrity), but this is not articulated as a mission. Community Impact (0/2): No evidence of charitable giving, community programs, or social investment. Employee Retention (0/2): The 41-person workforce (down from 56) provides no publicly available culture metrics. Top-5 customer concentration of 76.8% and two customers representing 54.2% of revenue creates extreme business fragility [3]. Internal control deficiencies suggest organizational dysfunction. Insider Buying (0/2): No evidence of insider buying. The Cayman Islands corporate structure, securities class action investigation, and inability to file SEC reports on time raise serious governance concerns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deeply distressed fundamentals. D/E of 115.7% (score 0.80, 1x weight) is the strongest metric but reflects increased leverage from the prior report [4]. ROE of -74.8% (score 0.0, 2x weight), profit margin of -68.9% (score 0.0, 1x weight), and revenue growth YoY of -9.5% (score 0.35, 1x weight) demonstrate severe financial deterioration [3][4]. Forward P/E is uncalculable (unprofitable, score 0.0). Revenue growth 5yr CAGR is unavailable (IPO 2024). PEG is uncalculable. Weighted sum of 1.15 out of maximum 10.0 yields mechanical score of 1. Gross margin collapsed from 15.9% to 7.0% in FY2026 [3]. Liquidity floor technically passes: avg daily volume of ~20M shares x $0.076 = $1.5M, though the stock's penny-stock status and SEC filing delinquency make it practically untradeable at institutional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Reitar Logtech is a textbook finite player in survival mode. The company's articulated strategy — 'MIS' (Mergers &amp; Acquisitions, Integration, and Spin-offs) — is financial engineering, not a Just Cause. The stock has declined 99% from IPO, the company cannot file SEC reports on time, internal controls are inadequate, and the workforce has shrunk from 56 to 41 employees. There is no vision of a future state worth sacrificing for, no evidence of organizational trust, and no courageous leadership decisions. The company exists in survival mode, playing the most finite of games.</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Reitar has no articulated Just Cause. The 'MIS strategy' (Mergers &amp; Acquisitions, Integration, and Spin-offs) is a financial engineering playbook, not a vision of a better future [2]. The cold chain logistics focus has latent social value — food safety, reducing waste — but this is not articulated as a purpose that inspires sacrifice. There is no evidence that the 41 employees rally around a shared cause beyond business survival.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41-person workforce (down from 56) operates under conditions of extreme organizational stress — a 99% stock decline, delayed SEC filings, and disclosed inadequacies in internal controls including insufficient GAAP-trained staff [3]. Customer concentration of 76.8% in the top 5 customers creates job security anxiety. The Cayman Islands corporate structure and securities class action investigation add governance opacity. No employee culture metrics, engagement scores, or retention data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Reitar operates in fragmented Hong Kong construction and logistics markets without articulating how competitors' strengths inform improvement [2]. The company's competitive language focuses on deal-making and partnerships (NEXX, Real World Asset tokenization) rather than learning from rivals like Dematic, KION Group, or larger Hong Kong construction firms.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While the company has announced plans for logistics automation spin-offs, blockchain tokenization, and Qatar partnerships, these appear to be survival tactics from a collapsing core business rather than purposeful strategic evolution [2]. The gap between announced ambitions (AI, blockchain, tokenization) and operational reality (41 employees, delayed SEC filing, collapsing margins) is enormous. Genuine existential flexibility requires the organizational capacity to execute a pivot, which Reitar lacks.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decisions by CEO John Chan or leadership. The company's financial trajectory — 99% stock decline, gross margin compression from 15.9% to 7.0%, inability to file SEC reports on time — suggests reactive crisis management rather than proactive leadership [1][3]. Ambitious partnership announcements (NEXX, Real World Asset tokenization) create a growing gap between promises and the company's capacity to deliver.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Reitar Logtech's cold chain logistics and automated warehouse engineering services address a growing market need for food supply chain modernization across Hong Kong, mainland China, Qatar, and Southeast Asia [2]. The NEXX partnership for AI-driven logistics automation and plans for Real World Asset tokenization of logistics assets represent conceptually interesting business model evolution. The stock's 99% decline from IPO high creates a mathematical floor near zero, and any successful execution of announced partnerships could generate outsized percentage returns from the current $5M market cap base.</w:t>
      </w:r>
    </w:p>
    <w:p>
      <w:pPr>
        <w:spacing w:after="120"/>
      </w:pPr>
      <w:r>
        <w:rPr>
          <w:rFonts w:ascii="Calibri" w:hAnsi="Calibri"/>
          <w:b w:val="0"/>
          <w:color w:val="3A4A28"/>
          <w:sz w:val="20"/>
        </w:rPr>
        <w:t>The bear case is overwhelming and existential. The stock has declined 99% from its August 2024 IPO high of $7.68 to $0.076, with market cap shrinking to approximately $5M — effectively a shell company by institutional standards [1][4]. Gross margin collapsed from 15.9% to 7.0% in FY2026, profit margin is -68.9%, and ROE is -74.8%, demonstrating a fundamentally unprofitable business [3]. The company delayed its annual SEC filing and disclosed inadequate internal controls over financial reporting, including insufficient U.S. GAAP-trained staff, raising the risk of reporting errors or fraud [3]. Customer concentration of 76.8% in the top 5 creates extreme revenue vulnerability. The Cayman Islands corporate structure, securities class action investigation, and 41-employee workforce make this effectively untradeable for any institutional portfolio. IOWN cannot responsibly deploy capital in a penny-stock micro-cap with governance deficiencies, collapsing financials, and SEC compliance failures.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announced Qatar logistics partnerships with NEXX could validate the technology platform and generate revenue from a new geographic market [2]</w:t>
      </w:r>
    </w:p>
    <w:p>
      <w:pPr>
        <w:spacing w:before="40" w:after="40"/>
        <w:ind w:left="283"/>
      </w:pPr>
      <w:r>
        <w:rPr>
          <w:rFonts w:ascii="Calibri" w:hAnsi="Calibri"/>
          <w:b/>
          <w:color w:val="4A6B25"/>
          <w:sz w:val="20"/>
        </w:rPr>
        <w:t xml:space="preserve">2. </w:t>
      </w:r>
      <w:r>
        <w:rPr>
          <w:rFonts w:ascii="Calibri" w:hAnsi="Calibri"/>
          <w:b w:val="0"/>
          <w:color w:val="3A4A28"/>
          <w:sz w:val="20"/>
        </w:rPr>
        <w:t>Resolution of SEC filing delays and internal control deficiencies could restore minimal investor confidence in corporate governance [3]</w:t>
      </w:r>
    </w:p>
    <w:p>
      <w:pPr>
        <w:spacing w:before="40" w:after="40"/>
        <w:ind w:left="283"/>
      </w:pPr>
      <w:r>
        <w:rPr>
          <w:rFonts w:ascii="Calibri" w:hAnsi="Calibri"/>
          <w:b/>
          <w:color w:val="4A6B25"/>
          <w:sz w:val="20"/>
        </w:rPr>
        <w:t xml:space="preserve">3. </w:t>
      </w:r>
      <w:r>
        <w:rPr>
          <w:rFonts w:ascii="Calibri" w:hAnsi="Calibri"/>
          <w:b w:val="0"/>
          <w:color w:val="3A4A28"/>
          <w:sz w:val="20"/>
        </w:rPr>
        <w:t>Stabilization of core Hong Kong construction management revenue and gross margin recovery from the 7.0% FY2026 trough could demonstrate business viability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Penny-stock micro-cap (~$5M market cap) with 99% decline from IPO — effectively untradeable at institutional scale, with delisting risk from NASDAQ minimum price and reporting compliance requirements [1][4]</w:t>
      </w:r>
    </w:p>
    <w:p>
      <w:pPr>
        <w:spacing w:before="40" w:after="40"/>
        <w:ind w:left="283"/>
      </w:pPr>
      <w:r>
        <w:rPr>
          <w:rFonts w:ascii="Calibri" w:hAnsi="Calibri"/>
          <w:b/>
          <w:color w:val="4A6B25"/>
          <w:sz w:val="20"/>
        </w:rPr>
        <w:t xml:space="preserve">2. </w:t>
      </w:r>
      <w:r>
        <w:rPr>
          <w:rFonts w:ascii="Calibri" w:hAnsi="Calibri"/>
          <w:b w:val="0"/>
          <w:color w:val="3A4A28"/>
          <w:sz w:val="20"/>
        </w:rPr>
        <w:t>Delayed SEC annual filing and disclosed inadequate internal controls including insufficient GAAP-trained staff — raising the risk of material misstatements, fraud, or forced financial restatements [3]</w:t>
      </w:r>
    </w:p>
    <w:p>
      <w:pPr>
        <w:spacing w:before="40" w:after="40"/>
        <w:ind w:left="283"/>
      </w:pPr>
      <w:r>
        <w:rPr>
          <w:rFonts w:ascii="Calibri" w:hAnsi="Calibri"/>
          <w:b/>
          <w:color w:val="4A6B25"/>
          <w:sz w:val="20"/>
        </w:rPr>
        <w:t xml:space="preserve">3. </w:t>
      </w:r>
      <w:r>
        <w:rPr>
          <w:rFonts w:ascii="Calibri" w:hAnsi="Calibri"/>
          <w:b w:val="0"/>
          <w:color w:val="3A4A28"/>
          <w:sz w:val="20"/>
        </w:rPr>
        <w:t>Extreme customer concentration (76.8% in top 5, two customers at 54.2%) combined with collapsing gross margins (15.9% to 7.0%) and a 41-person workforce create existential business fragility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Reitar's core construction management and engineering design services involve physical-world operations — building cold storage facilities and automated warehouses requires human labor, engineering expertise, and on-site execution that AI cannot fully replace [2]. However, AI-driven building information modeling, automated project management, and robotic construction technologies could gradually erode the value of the company's human-capital-dependent service model. The company's micro-cap scale (~$5M market cap) provides no structural moat against larger competitors adopting AI tools more effectively. Cold chain logistics consulting faces growing competition from AI-powered supply chain optimization platforms. AI Opportunity (0/1): Despite claims of pursuing AI, blockchain, and robotics in logistics, the company has 41 employees, inadequate internal controls, and cannot file SEC reports on time — there is no credible evidence of AI revenue generation or meaningful AI deployment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Yahoo Finance / StockAnalysis.com — RITR Stock Price, 52-week range $0.05-$7.68, market cap ~$5M,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Reitar Logtech Corporate Overview — NEXX partnership, AI/blockchain/robotics strategy, Cold chain logistics, six core business segments, reitar.io, 2025-2026</w:t>
      </w:r>
    </w:p>
    <w:p>
      <w:pPr>
        <w:spacing w:before="20" w:after="20"/>
        <w:ind w:left="170"/>
      </w:pPr>
      <w:r>
        <w:rPr>
          <w:rFonts w:ascii="Calibri" w:hAnsi="Calibri"/>
          <w:b/>
          <w:color w:val="4A6B25"/>
          <w:sz w:val="15"/>
        </w:rPr>
        <w:t xml:space="preserve">3. </w:t>
      </w:r>
      <w:r>
        <w:rPr>
          <w:rFonts w:ascii="Calibri" w:hAnsi="Calibri"/>
          <w:b w:val="0"/>
          <w:color w:val="3A4A28"/>
          <w:sz w:val="17"/>
        </w:rPr>
        <w:t>Reitar Logtech SEC Filings — 20-F delayed filing, internal control deficiencies, gross margin 7.0%, customer concentration 76.8%, Globe and Mail/Equibles/StockTitan, 2026</w:t>
      </w:r>
    </w:p>
    <w:p>
      <w:pPr>
        <w:spacing w:before="20" w:after="20"/>
        <w:ind w:left="170"/>
      </w:pPr>
      <w:r>
        <w:rPr>
          <w:rFonts w:ascii="Calibri" w:hAnsi="Calibri"/>
          <w:b/>
          <w:color w:val="4A6B25"/>
          <w:sz w:val="15"/>
        </w:rPr>
        <w:t xml:space="preserve">4. </w:t>
      </w:r>
      <w:r>
        <w:rPr>
          <w:rFonts w:ascii="Calibri" w:hAnsi="Calibri"/>
          <w:b w:val="0"/>
          <w:color w:val="3A4A28"/>
          <w:sz w:val="17"/>
        </w:rPr>
        <w:t>Investing.com / Simply Wall St — RITR Fundamental Analysis, penny-stock status, revenue decline,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