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RLAY</w:t>
      </w:r>
      <w:r>
        <w:rPr>
          <w:rFonts w:ascii="Calibri" w:hAnsi="Calibri"/>
          <w:b/>
          <w:color w:val="1A2010"/>
          <w:sz w:val="40"/>
        </w:rPr>
        <w:t xml:space="preserve">  Relay Therapeutics, Inc.</w:t>
      </w:r>
    </w:p>
    <w:p>
      <w:pPr>
        <w:spacing w:after="120"/>
      </w:pPr>
      <w:r>
        <w:rPr>
          <w:rFonts w:ascii="Calibri" w:hAnsi="Calibri"/>
          <w:b/>
          <w:color w:val="6E8450"/>
          <w:sz w:val="18"/>
        </w:rPr>
        <w:t>GROWTH SLEEVE · 2026-09-09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Relay Therapeutics is a clinical-stage precision medicine company that combines computational chemistry, AI, and experimental biophysics to discover transformative therapeutics by modeling protein motion dynamics — revealing drug targets invisible to traditional static structural biology. Lead candidate zovegalisib is the first pan-mutant selective PI3Ka inhibitor, currently in Phase 3 (ReDiscover-2) for HR+/HER2- metastatic breast cancer and Phase 1/2 (ReInspire) for vascular anomalies, and has received FDA Breakthrough Therapy designation. Q2 2026 revenue was $0.35M (collaboration) with net loss of $83.7M as R&amp;D spending increased 20% YoY to $76.5M for clinical trial expansion. Cash, equivalents and investments of $910.9M provide runway into 2029. Market cap is approximately $4.2B.</w:t>
      </w:r>
    </w:p>
    <w:p>
      <w:r>
        <w:rPr>
          <w:rFonts w:ascii="Calibri" w:hAnsi="Calibri"/>
          <w:b/>
          <w:color w:val="6E8450"/>
          <w:sz w:val="18"/>
        </w:rPr>
        <w:t>400 Employees · https://www.relaytx.com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Relay has pioneered a genuinely novel drug discovery paradigm — using AI and computational biophysics to model how proteins move and flex over time, revealing transient allosteric pockets that static structural biology misses entirely [4]. This approach has produced zovegalisib, a first-in-class pan-mutant selective PI3Ka inhibitor that received FDA Breakthrough Therapy designation and has advanced to Phase 3 trials in breast cancer, validating the platform's ability to generate clinically meaningful drug candidates from computational insights [1][3]. However, no drug has been approved or commercialized, so the platform's ultimate commercial value remains unproven. AI Deployment (2/2): Relay is among the most sophisticated AI drug discovery companies globally. The platform integrates machine learning, molecular dynamics simulation, cryo-EM structural data, and experimental biophysics into an end-to-end computational drug design engine [4]. The hiring of Patrick Riley (15 years of AI expertise from Google) demonstrates deep commitment to AI as a core competency, not a marketing veneer. CEO Sanjiv Patel was named among the top 20 Enterprise AI Drug Discovery CEOs for 2026. Market Share (0/2): Pre-revenue clinical-stage company with no marketed products. The company has no commercial market share; its value derives entirely from its pipeline and platform potential. Product Pipeline (2/2): Zovegalisib in Phase 3 (ReDiscover-2, breast cancer) and Phase 1/2 (ReInspire, vascular anomalies), with preparation underway for a Phase 3 frontline study in endocrine-sensitive metastatic breast cancer [1][3]. Multiple preclinical programs across undisclosed targets. FDA Breakthrough designation provides accelerated regulatory pathway. R&amp;D Intensity (1/1): R&amp;D expense of $76.5M in Q2 2026 (+20% YoY) represents essentially all company spending — Relay is a pure R&amp;D organization at this stage, with revenue negligible relative to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Relay's purpose — discovering transformative medicines through computational innovation that captures the dynamic nature of biology — is specific, scientifically meaningful, and differentiates the company from conventional pharma approaches. The protein motion platform represents a genuine scientific conviction that drives organizational focus [4]. However, the mission's impact is entirely aspirational until a drug reaches patients, and the company's communication focuses more on platform differentiation than patient impact. Community Impact (0/2): As a small clinical-stage biotech, Relay has minimal community programs. The company publishes SASB-aligned ESG reporting and acknowledges stakeholder responsibility, but the scope of community engagement is proportional to its size (~400 employees) and pre-revenue status [5]. Employee Retention (1/2): Relay's scientific culture attracts top computational biology and AI talent, evidenced by the hiring of Patrick Riley from Google and the caliber of leadership across computational chemistry, biophysics, and clinical development [4]. The specialized nature of the work creates intellectual engagement that supports retention, though no specific metrics are available. Insider Buying (0/2): No evidence of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pre-revenue clinical-stage biotech, Relay Therapeutics scores near zero on virtually all infrastructure metrics by design — the company generates negligible product revenue ($0.35M Q2), operates at deeply negative profit margins, has no meaningful earnings for P/E or PEG calculations, and generates negative ROE [3]. The only metric that scores positively is D/E ratio, estimated at approximately 15% reflecting the capital-light biotech model with $910.9M in cash against modest liabilities. Revenue growth is not meaningful at this stage — Q2 collaboration revenue of $0.35M versus $0.7M prior year reflects timing of milestone payments, not business trajectory. The company's value derives entirely from its clinical pipeline (zovegalisib Phase 3, FDA Breakthrough designation) and platform potential, which are not captured by financial infrastructure metrics. The liquidity floor is easily cleared with approximately $47.5M in daily trading volume (2.4M shares at ~$19.79).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Relay Therapeutics shows strong elements of infinite game thinking in its scientific mission — the company has invested hundreds of millions of dollars over multiple years into a novel drug discovery paradigm (protein motion modeling) with no commercial revenue, reflecting genuine long-term conviction rather than short-term financial optimization [1][4]. The multi-year commitment to building a computational platform before generating clinical candidates demonstrates patience and purpose. However, the company exists in the inherently finite game of venture-backed biotech, where clinical failures can be existential and shareholder expectations create pressure for near-term catalysts. The $910.9M cash position and runway into 2029 provide temporal flexibility, but the clock is ticking on demonstrating clinical value.</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Relay's implicit cause — using computational innovation to discover medicines for diseases that conventional approaches cannot address — is scientifically compelling and connects to patient impact through undruggable target biology [4]. The protein motion platform represents genuine scientific conviction rather than incremental drug development. However, the cause remains aspirational until drugs reach patients, and the company's communication emphasizes platform differentiation more than a transcendent purpose that inspires beyond the scientific community.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Relay has assembled a high-caliber scientific team combining computational biology, AI/ML, biophysics, chemistry, and clinical development expertise. The hiring of Patrick Riley from Google (15 years AI experience) and CEO Sanjiv Patel (pharmaceutical industry leader) demonstrates the ability to attract top talent [4]. The specialized, interdisciplinary nature of the work likely creates strong team cohesion around shared intellectual challenges. However, as a ~400-person clinical-stage company, no specific employee engagement or retention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Relay operates in the competitive AI drug discovery space alongside Recursion, Schrodinger, Exscientia, and AI platforms within major pharma companies. The company's differentiated focus on protein motion dynamics (rather than the more common structure-based or phenotypic screening approaches) suggests competitive self-awareness about where it can create unique value rather than competing head-to-head in crowded computational chemistry.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Relay has demonstrated some strategic flexibility by expanding from initial oncology focus to vascular anomalies (ReInspire program) and frontline breast cancer, showing willingness to pursue the platform's potential across therapeutic areas rather than being locked into a single indication [3]. However, the company has not yet faced a true existential challenge (Phase 3 failure, cash crisis) that would test its adaptive capacity. The $910.9M cash position provides financial runway but also reduces the urgency that forces genuine transformation.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Building a drug discovery company around a novel scientific paradigm (protein motion dynamics) that most competitors overlook required genuine intellectual and financial courage — the company has invested hundreds of millions in computational infrastructure and clinical development before generating meaningful revenue [1][4]. The decision to pursue 'undruggable' targets that conventional structural biology cannot address reflects willingness to bet on a contrarian scientific thesis. R&amp;D expense of $76.5M per quarter, up 20% YoY, demonstrates continued conviction in the approach despite no near-term revenue visibility. The successful FDA Breakthrough designation for zovegalisib validates this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Relay Therapeutics at $4.2B market cap is a high-conviction AI drug discovery platform bet with validated clinical assets — zovegalisib, the first pan-mutant selective PI3Ka inhibitor, has received FDA Breakthrough Therapy designation and is in Phase 3 (ReDiscover-2) for HR+/HER2- metastatic breast cancer, with a Phase 3 frontline study in preparation and Phase 1/2 (ReInspire) in vascular anomalies expanding the addressable market [1][3]. The company's protein motion dynamics platform represents a genuinely differentiated approach to drug discovery that reveals targets invisible to conventional structural biology, validated by the clinical progression of zovegalisib from computational insight to Phase 3 [4]. The $910.9M cash position provides runway into 2029, de-risking the near-term dilution concerns that plague many clinical-stage biotechs. R&amp;D investment is accelerating ($76.5M Q2, +20% YoY), indicating management confidence in the pipeline. The Inspire Impact Score of 30 (ALIGNED) with three positive attributions and no negatives makes RLAY appropriate for faith-aligned healthcare exposure.</w:t>
      </w:r>
    </w:p>
    <w:p>
      <w:pPr>
        <w:spacing w:after="120"/>
      </w:pPr>
      <w:r>
        <w:rPr>
          <w:rFonts w:ascii="Calibri" w:hAnsi="Calibri"/>
          <w:b w:val="0"/>
          <w:color w:val="3A4A28"/>
          <w:sz w:val="20"/>
        </w:rPr>
        <w:t>The bear case is the classic clinical-stage biotech risk profile amplified by premium valuation. At $4.2B market cap with $0.35M quarterly revenue and $83.7M quarterly losses, the entire valuation rests on zovegalisib clinical success — a Phase 3 failure or safety signal could destroy 70%+ of the market cap overnight [3]. The PI3K pathway has a troubled clinical history in oncology (multiple prior PI3K inhibitors approved then withdrawn or restricted due to toxicity — Idelalisib, Copanlisib, Alpelisib carry boxed warnings), and while zovegalisib's pan-mutant selectivity is designed to improve the therapeutic window, Phase 3 data must prove this thesis at scale. Cash burn of approximately $300M+ annually means the 2029 runway is finite and dependent on the company not expanding its clinical programs faster than planned [3]. The AI drug discovery space is intensely competitive (Recursion, Schrodinger, Exscientia, major pharma internal AI platforms), and platform differentiation could diminish if competitors develop comparable or superior computational approaches to protein dynamics. No commercial infrastructure exists — if zovegalisib succeeds, Relay must build or partner for manufacturing, distribution, and market access, adding execution risk and potential dilution.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ReDiscover-2 trial readout for zovegalisib in HR+/HER2- metastatic breast cancer is the pivotal binary catalyst — positive data could support regulatory approval and validate the protein motion platform, potentially rerating the stock significantly [1]</w:t>
      </w:r>
    </w:p>
    <w:p>
      <w:pPr>
        <w:spacing w:before="40" w:after="40"/>
        <w:ind w:left="283"/>
      </w:pPr>
      <w:r>
        <w:rPr>
          <w:rFonts w:ascii="Calibri" w:hAnsi="Calibri"/>
          <w:b/>
          <w:color w:val="4A6B25"/>
          <w:sz w:val="20"/>
        </w:rPr>
        <w:t xml:space="preserve">2. </w:t>
      </w:r>
      <w:r>
        <w:rPr>
          <w:rFonts w:ascii="Calibri" w:hAnsi="Calibri"/>
          <w:b w:val="0"/>
          <w:color w:val="3A4A28"/>
          <w:sz w:val="20"/>
        </w:rPr>
        <w:t>ReInspire Phase 1/2 data in vascular anomalies could establish zovegalisib as a multi-indication asset, expanding the addressable market beyond oncology and de-risking the single-indication concentration [3]</w:t>
      </w:r>
    </w:p>
    <w:p>
      <w:pPr>
        <w:spacing w:before="40" w:after="40"/>
        <w:ind w:left="283"/>
      </w:pPr>
      <w:r>
        <w:rPr>
          <w:rFonts w:ascii="Calibri" w:hAnsi="Calibri"/>
          <w:b/>
          <w:color w:val="4A6B25"/>
          <w:sz w:val="20"/>
        </w:rPr>
        <w:t xml:space="preserve">3. </w:t>
      </w:r>
      <w:r>
        <w:rPr>
          <w:rFonts w:ascii="Calibri" w:hAnsi="Calibri"/>
          <w:b w:val="0"/>
          <w:color w:val="3A4A28"/>
          <w:sz w:val="20"/>
        </w:rPr>
        <w:t>New clinical candidates from the protein motion platform entering IND stage would validate the platform as a repeatable discovery engine beyond zovegalisib, justifying the premium platform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clinical failure or safety signal for zovegalisib would be devastating — the PI3K pathway has a troubled safety history (prior inhibitors withdrawn or restricted for toxicity), and Phase 3 failure would wipe the majority of the $4.2B market cap [1][3]</w:t>
      </w:r>
    </w:p>
    <w:p>
      <w:pPr>
        <w:spacing w:before="40" w:after="40"/>
        <w:ind w:left="283"/>
      </w:pPr>
      <w:r>
        <w:rPr>
          <w:rFonts w:ascii="Calibri" w:hAnsi="Calibri"/>
          <w:b/>
          <w:color w:val="4A6B25"/>
          <w:sz w:val="20"/>
        </w:rPr>
        <w:t xml:space="preserve">2. </w:t>
      </w:r>
      <w:r>
        <w:rPr>
          <w:rFonts w:ascii="Calibri" w:hAnsi="Calibri"/>
          <w:b w:val="0"/>
          <w:color w:val="3A4A28"/>
          <w:sz w:val="20"/>
        </w:rPr>
        <w:t>Cash burn of approximately $300M+ annually with $910.9M in reserves creates a finite runway (into 2029) that could force dilutive equity raises if clinical timelines extend or new programs are initiated [3]</w:t>
      </w:r>
    </w:p>
    <w:p>
      <w:pPr>
        <w:spacing w:before="40" w:after="40"/>
        <w:ind w:left="283"/>
      </w:pPr>
      <w:r>
        <w:rPr>
          <w:rFonts w:ascii="Calibri" w:hAnsi="Calibri"/>
          <w:b/>
          <w:color w:val="4A6B25"/>
          <w:sz w:val="20"/>
        </w:rPr>
        <w:t xml:space="preserve">3. </w:t>
      </w:r>
      <w:r>
        <w:rPr>
          <w:rFonts w:ascii="Calibri" w:hAnsi="Calibri"/>
          <w:b w:val="0"/>
          <w:color w:val="3A4A28"/>
          <w:sz w:val="20"/>
        </w:rPr>
        <w:t>AI drug discovery competitive pressure from Recursion, Schrodinger, Exscientia, Insilico Medicine, and major pharma AI platforms could erode Relay's platform differentiation if alternative computational approaches prove more productive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Drug discovery is structurally protected from AI disruption by massive regulatory barriers — FDA approval requires years of clinical trials, billions in investment, and human safety data that no AI model can shortcut [1]. Relay's specific zovegalisib clinical program, once in Phase 3 with Breakthrough designation, has regulatory and clinical moats that competitors cannot replicate through AI alone. The physical and biological complexity of drug development (pharmacokinetics, toxicology, manufacturing) creates structural barriers. However, the AI drug discovery landscape is intensely competitive — Recursion Pharmaceuticals, Schrodinger, Exscientia, Insilico Medicine, and major pharma AI platforms all pursue similar computational approaches to drug design. If a competitor's AI platform proves superior at identifying drug candidates, Relay's platform differentiation could diminish. The company's pre-revenue status means it has no installed base or commercial moat to defend — its value is entirely forward-looking pipeline potential. AI Opportunity (1/1): AI IS Relay's core business — the entire drug discovery platform is built on AI, computational biophysics, and machine learning to model protein motion dynamics [4]. Every dollar of R&amp;D spending ($76.5M in Q2) flows through the AI platform, and every clinical candidate was identified computationally. The FDA Breakthrough designation for zovegalisib validates that the AI-driven approach can generate clinically meaningful drug candidates.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Relay Therapeutics Q1 2026 Earnings Release — Revenue $3.0M, Net Loss $73.3M, Cash $642.1M, FDA Breakthrough Designation for Zovegalisib, May 2026</w:t>
      </w:r>
    </w:p>
    <w:p>
      <w:pPr>
        <w:spacing w:before="20" w:after="20"/>
        <w:ind w:left="170"/>
      </w:pPr>
      <w:r>
        <w:rPr>
          <w:rFonts w:ascii="Calibri" w:hAnsi="Calibri"/>
          <w:b/>
          <w:color w:val="4A6B25"/>
          <w:sz w:val="15"/>
        </w:rPr>
        <w:t xml:space="preserve">2. </w:t>
      </w:r>
      <w:r>
        <w:rPr>
          <w:rFonts w:ascii="Calibri" w:hAnsi="Calibri"/>
          <w:b w:val="0"/>
          <w:color w:val="3A4A28"/>
          <w:sz w:val="17"/>
        </w:rPr>
        <w:t>Relay Therapeutics CEO Appointment — Sanjiv K. Patel, M.D. Named President and CEO, Pharmaceutical Leader Background, BusinessWire</w:t>
      </w:r>
    </w:p>
    <w:p>
      <w:pPr>
        <w:spacing w:before="20" w:after="20"/>
        <w:ind w:left="170"/>
      </w:pPr>
      <w:r>
        <w:rPr>
          <w:rFonts w:ascii="Calibri" w:hAnsi="Calibri"/>
          <w:b/>
          <w:color w:val="4A6B25"/>
          <w:sz w:val="15"/>
        </w:rPr>
        <w:t xml:space="preserve">3. </w:t>
      </w:r>
      <w:r>
        <w:rPr>
          <w:rFonts w:ascii="Calibri" w:hAnsi="Calibri"/>
          <w:b w:val="0"/>
          <w:color w:val="3A4A28"/>
          <w:sz w:val="17"/>
        </w:rPr>
        <w:t>Relay Therapeutics Q2 2026 Earnings Release — Revenue $0.35M, Net Loss $83.7M, R&amp;D $76.5M (+20% YoY), Cash $910.9M (runway into 2029), Phase 3 ReDiscover-2 and Phase 1/2 ReInspire Updates, August 2026</w:t>
      </w:r>
    </w:p>
    <w:p>
      <w:pPr>
        <w:spacing w:before="20" w:after="20"/>
        <w:ind w:left="170"/>
      </w:pPr>
      <w:r>
        <w:rPr>
          <w:rFonts w:ascii="Calibri" w:hAnsi="Calibri"/>
          <w:b/>
          <w:color w:val="4A6B25"/>
          <w:sz w:val="15"/>
        </w:rPr>
        <w:t xml:space="preserve">4. </w:t>
      </w:r>
      <w:r>
        <w:rPr>
          <w:rFonts w:ascii="Calibri" w:hAnsi="Calibri"/>
          <w:b w:val="0"/>
          <w:color w:val="3A4A28"/>
          <w:sz w:val="17"/>
        </w:rPr>
        <w:t>Relay Therapeutics AI Drug Discovery Platform — Protein Motion Dynamics, Patrick Riley (Google AI) Hiring, Top 20 AI Drug Discovery CEOs 2026, BioSpace/TheAIInsider, 2025-2026</w:t>
      </w:r>
    </w:p>
    <w:p>
      <w:pPr>
        <w:spacing w:before="20" w:after="20"/>
        <w:ind w:left="170"/>
      </w:pPr>
      <w:r>
        <w:rPr>
          <w:rFonts w:ascii="Calibri" w:hAnsi="Calibri"/>
          <w:b/>
          <w:color w:val="4A6B25"/>
          <w:sz w:val="15"/>
        </w:rPr>
        <w:t xml:space="preserve">5. </w:t>
      </w:r>
      <w:r>
        <w:rPr>
          <w:rFonts w:ascii="Calibri" w:hAnsi="Calibri"/>
          <w:b w:val="0"/>
          <w:color w:val="3A4A28"/>
          <w:sz w:val="17"/>
        </w:rPr>
        <w:t>Relay Therapeutics ESG and Responsibility — SASB-aligned Reporting, Stakeholder Commitment, Corporate IR Site,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