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RLI</w:t>
      </w:r>
      <w:r>
        <w:rPr>
          <w:rFonts w:ascii="Calibri" w:hAnsi="Calibri"/>
          <w:b/>
          <w:color w:val="1A2010"/>
          <w:sz w:val="40"/>
        </w:rPr>
        <w:t xml:space="preserve">  RLI Corp.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2026-10-14 · Inspire: 38 · INFINITE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71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Financial Services · Insurance - Property &amp; Casualty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RLI Corp. is a specialty property and casualty insurance holding company providing niche-focused underwriting across dozens of specialized product lines. The company operates through three segments: Casualty (commercial excess, personal umbrella, general liability, transportation), Property (commercial property, marine, Hawaii homeowners), and Surety (contract, commercial, miscellaneous surety bonds). RLI carries AM Best's highest A++ (Superior) rating, reported H1 2026 revenue of ~$999M with a combined ratio of 85.8 and net earnings of $222.9M ($2.42 diluted EPS), and has increased dividends for 49+ consecutive years [1].</w:t>
      </w:r>
    </w:p>
    <w:p>
      <w:r>
        <w:rPr>
          <w:rFonts w:ascii="Calibri" w:hAnsi="Calibri"/>
          <w:b/>
          <w:color w:val="6E8450"/>
          <w:sz w:val="18"/>
        </w:rPr>
        <w:t>1,193 Employees · https://www.rlicorp.com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RLI has expanded into adjacent specialty lines — personal umbrella premiums grew 26% and transportation 19% in Q2 2026 — but these are incremental extensions of an established specialty model, not transformative pivots [1]. The core casualty-property-surety structure has remained unchanged for decades, prioritizing underwriting discipline over business model innovation. AI Deployment (1/2): RLI partnered with Kettle to leverage deep learning models for catastrophic risk modeling and promoted Gayathri Mariappan to VP of Information Technology with a mandate to integrate AI, cloud, and digital tools into operations [2]. Management described AI as 'not a headline but a tool,' indicating practical internal deployment without customer-facing AI products or quantified savings. Market Share (1/2): AM Best upgraded RLI to its highest A++ (Superior) rating in February 2026, a distinction held by fewer than 15 P&amp;C insurers globally, enhancing competitive positioning for large-account specialty business [3]. However, with ~$2.0B revenue RLI is not a market share leader in any broad insurance category. Product Pipeline (0/2): No specific next-generation products or platforms announced with timelines; growth is opportunistic niche expansion rather than planned pipeline development. R&amp;D Intensity (0/1): Insurance companies do not report traditional R&amp;D spending.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RLI's purpose — 'Protect people and organizations from life's uncertainties to help them explore, create, build and thrive' — is specific and thoughtful, connecting insurance protection to human flourishing [2]. The 'Different Works' philosophy, featured in MIT Sloan Management Review, holds that empowering underwriters as entrepreneurs, pushing transparency, and normalizing learning from failure creates a fundamentally better insurance company. CEO Kliethermes' 'Markets change; our principles don't' demonstrates purpose-driven strategy through cycles, and the 9% employee ownership through ESOP validates the mission structurally. Community Impact (0/2): No specific charitable programs, foundation activity, or distinctive community investment with dollar amounts identified beyond standard corporate philanthropy. Employee Retention (2/2): RLI earned Glassdoor's Employees' Choice Award for Best Places to Work, ranked #27 among all large U.S. companies and the only insurance company recognized [3]. Glassdoor ratings of 4.9/5 for culture and values, 4.7/5 for work-life balance, 97% employee recommendation rate, and 98% CEO approval indicate exceptional retention driven by the ownership culture. Insider Buying (2/2): Nine insider buys with zero sells over the past 12 months — CEO Kliethermes purchased 2,000 shares, Director Duclos acquired 2,500 shares for $130K, and Director Kellogg bought 3,000 shares, representing broad-based leadership conviction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Dividend stock. RLI demonstrates exceptional financial discipline — D/E of 18.2% is a fortress balance sheet rare in P&amp;C insurance (score 1.0), while 25.2% ROE reflects best-in-class capital deployment (score 1.0) [5]. Revenue grew 15.2% YoY (score 1.0) with 5yr CAGR of ~11% (score 1.0), and profit margin of 22.2% exceeds the 20% target (score 1.0) [1]. Forward P/E of 21.24x is marginally above the 20x target (score 0.969). On dividend metrics, 50 consecutive years of dividend payments (score 1.0, 2x weight) and 49+ consecutive years of increases (score 1.0) demonstrate extraordinary consistency. Payout ratio of ~61% including specials scores 0.64 against the 40% target, and 5yr dividend growth CAGR of 5.92% (score 0.99, 2x weight) reflects steady income growth. Liquidity floor cleared: 758K avg volume x $57.10 = $43.3M daily dollar volume [5].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16A34A"/>
          <w:sz w:val="22"/>
        </w:rPr>
        <w:t>INFINITE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RLI is one of the strongest infinite-game players in this screen, with a deeply embedded 'Different Works' culture validated by MIT Sloan Management Review. The ownership culture (9% ESOP), decentralized underwriting authority, blame-free learning-from-failure processes, and willingness to sacrifice premium growth for underwriting discipline reflect an organization built to endure across generations. CEO Kliethermes' 'Markets change; our principles don't' encapsulates a philosophy validated by 49+ years of consecutive dividend increases through every insurance market cycle. In Q2 2026, management reduced property premiums 6% and surety 6% rather than chase volume in a softening market — choosing discipline over growth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(3/3): RLI's 'Different Works' philosophy is a genuine Just Cause validated by decades of consistent execution across multiple CEO transitions [2]. The belief that empowering people as owners, pushing transparency, and learning from failure creates a fundamentally better insurance company is not marketing — it IS the competitive advantage. MIT Sloan Management Review featured this culture as a model for conservative industries. Products run as stand-alone businesses with autonomous leadership, compensation tied to individual results, and a 9% ESOP ensuring alignment. The cause has survived leadership transitions, catastrophe years, and competitive cycles for over 30 years.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(2/2): RLI's organizational trust is exceptional. Glassdoor ratings of 4.9/5 for culture and values with 97% employee recommendation rate and 98% CEO approval — the only insurer ranked in the top 100 Best Places to Work (#27) [3]. Underwriters operate product lines as stand-alone businesses with high autonomy and compensation tied to their results [2]. The 'learning from failure' process reviews losses in a blame-free environment, exactly what Sinek describes as a Circle of Safety. The 9% ESOP creates literal ownership, and extensive development programs (Building Better Leaders, tuition reimbursement, underwriter development) invest in people over the long term.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RLI's competitive posture focuses on self-improvement rather than rival destruction. Management frames competition in terms of maintaining underwriting discipline — 'Markets change; our principles don't' — rather than beating specific competitors [2]. The decision to reduce property premiums 6% when the market softened, rather than matching competitors' aggressive pricing, reflects a company competing against its own standards. RLI acknowledges competitor capabilities implicitly by partnering with InsurTech firm Kettle rather than building all capabilities internally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RLI has evolved from a regional surety insurer to a nationally diversified specialty platform spanning casualty, property, and surety with personal umbrella growing 26% and transportation 19% in Q2 2026 [1]. The company regularly enters new specialty niches and exits unprofitable ones — demonstrating strategic adaptation within its domain. However, the core business model (specialty P&amp;C underwriting) has never fundamentally changed, and the conservative culture may make radical pivots difficult if industry disruption accelerates.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RLI demonstrates disciplined courage by accepting premium contraction when pricing deteriorates — property down 6% and surety down 6% in Q2 2026 by exiting unprofitable accounts and maintaining pricing discipline in a softening E&amp;S market [1]. The company returned $200M+ to shareholders through regular dividends, a $2.00 special dividend, and ~235,000 share repurchases rather than empire-building [2]. Forty-nine consecutive years of dividend increases through every insurance cycle reflects generational discipline. However, this is courage within a proven model — maintaining pricing standards is admirable but not the same as making costly transformative bets.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RLI at $57.10 (12.0x trailing earnings) is a best-in-class specialty insurer delivering accelerating growth — H1 2026 revenue of ~$999M with a combined ratio of 85.8, 25.2% ROE, and fortress D/E of 18.2% underscore an underwriting machine with AM Best's highest A++ rating held by fewer than 15 P&amp;C insurers globally [1][3][5]. Earnings growth of 35.8% YoY and 15.2% revenue growth reflect strong casualty segment momentum (personal umbrella +26%, transportation +19%), while $4.9B in total investments generates accelerating investment income [1]. The 49+ consecutive years of dividend increases with ~5% effective yield (including specials) provides rare compounding visibility. The 'Different Works' culture, featured in MIT Sloan Management Review, is validated by Glassdoor's #27 Best Places to Work ranking (97% recommendation, 4.9/5 culture) and unanimous insider buying — nine buys, zero sells [2][3][4]. Inspire Insight score of 38 (ALIGNED) with zero negative attributions confirms values-aligned operations.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growth sustainability, valuation, and catastrophe exposure. Forward P/E of 21.24x prices in continued premium growth, but net premiums earned grew only 3.8% in Q2 — the 15.2% total revenue growth was amplified by lumpy investment gains and unrealized equity gains of $103M that may not recur [1]. Property premiums declined 6% and surety declined 6% as management maintained pricing discipline in a softening E&amp;S market, suggesting organic growth may decelerate. The payout ratio of ~61% including special dividends limits reinvestment capacity, and special dividends — which constitute the majority of the ~5% effective yield — are variable and could decline in a catastrophe-heavy year. RLI's 1,193-employee operation limits scale advantages versus larger diversified insurers, and specialty niches face concentration risk if any single line experiences adverse loss development. The stock's 11% decline from $64.28 to $57.10 since August may reflect market concerns about slowing premium growth in competitive specialty markets [5]. Innovation score of 3/10 reflects a company excelling at a proven model rather than building new capabilities — AI-enhanced competitors could gradually narrow the specialty underwriting expertise gap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Casualty segment premium growth (+11% in Q2 with personal umbrella +26% and transportation +19%) provides a durable organic growth engine as RLI expands into underpenetrated specialty lines with favorable loss experience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AM Best A++ upgrade (February 2026) enhances competitive positioning for large-account specialty business, potentially unlocking new broker relationships and premium volume in higher-limit programs requiring top-tier rated carriers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Unanimous insider buying (9 buys, 0 sells) by CEO Kliethermes and multiple directors at $64+ levels signals leadership conviction that the current $57.10 price significantly underestimates long-term earnings power, providing potential near-term valuation support 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Net premiums earned grew only 3.8% in Q2 despite 15.2% total revenue growth — the gap reflects heavy reliance on lumpy investment gains ($103M unrealized equity gains in Q2) that may not recur, masking slower core underwriting momentum in a competitive market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Softening E&amp;S market conditions forced 6% property and 6% surety premium declines as RLI maintained pricing discipline, with potential for further contraction if competitive pricing pressure intensifies across specialty lines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Catastrophic loss exposure remains a tail risk — while the Kettle AI partnership improves cat modeling, a major hurricane or earthquake season could generate outsized losses relative to RLI's $5.2B market cap, and the 11% stock decline since August may foreshadow market concerns about approaching Q3 catastrophe season results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RLI's specialty insurance underwriting is structurally protected from AI disruption — state-by-state licensing requires regulated underwriters, the AM Best A++ rating reflects capital adequacy that AI startups cannot replicate, and specialty lines like surety bonds and transportation liability require deep domain expertise and relationship-based distribution [1][3]. Physical-world risk assessment, claims investigation, and binding authority require human judgment and regulatory compliance. InsurTech AI tools can enhance pricing and risk selection but cannot replace the licensed, capitalized, relationship-driven specialty model. Some consulting and routine underwriting functions face AI efficiency pressure, but RLI's specialty focus in complex commercial risks provides meaningful insulation. AI Opportunity (0/1): RLI uses AI internally through its Kettle partnership for catastrophic risk modeling but does not generate revenue from AI products or services — AI remains a back-office tool, not a revenue driver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38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Systemic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RLI Corp H1 and Q2 2026 Earnings — H1 Revenue ~$999M, Q2 Revenue $575.6M (+15.2%), Combined Ratio 85.8, EPS $2.42, Casualty +11%, Property -6%, Surety -6% — SEC Filings/Yahoo Finance,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RLI Corp Leadership &amp; Culture — CEO Kliethermes 'Markets change; our principles don't', 'Different Works' philosophy in MIT Sloan Management Review, Kettle AI Partnership, 9% ESOP — rlicorp.com/MIT Sloan,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RLI Corp AM Best A++ Rating and Glassdoor #27 Best Places to Work — 97% Recommendation, 4.9/5 Culture, 98% CEO Approval, Only Insurer Recognized — Carrier Management/Glassdoor, 2024-2026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RLI Corp Insider Activity — 9 Buys / 0 Sells in 12 Months: CEO Kliethermes 2,000 Shares, Director Duclos $130K, Director Kellogg 3,000 Shares — GuruFocus, May-June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Yahoo Finance / StockAnalysis — RLI Key Statistics: Stock Price $57.10, P/E 12.0, Forward P/E 21.24, D/E 18.19%, ROE 25.16%, Profit Margin 22.22%, Avg Volume 758K —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RLI Corp Dividend History — 49+ Consecutive Years of Increases, 5yr CAGR 5.92%, Effective Yield ~5%, Payout Ratio ~61% Including Specials — StockAnalysis/Macrotrends,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