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RMBS</w:t>
      </w:r>
      <w:r>
        <w:rPr>
          <w:rFonts w:ascii="Calibri" w:hAnsi="Calibri"/>
          <w:b/>
          <w:color w:val="1A2010"/>
          <w:sz w:val="40"/>
        </w:rPr>
        <w:t xml:space="preserve">  Rambus Inc.</w:t>
      </w:r>
    </w:p>
    <w:p>
      <w:pPr>
        <w:spacing w:after="120"/>
      </w:pPr>
      <w:r>
        <w:rPr>
          <w:rFonts w:ascii="Calibri" w:hAnsi="Calibri"/>
          <w:b/>
          <w:color w:val="6E8450"/>
          <w:sz w:val="18"/>
        </w:rPr>
        <w:t>GROWTH SLEEVE · 2026-09-09 · Inspire: 44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Rambus Inc. provides semiconductor products and intellectual property (IP) for advanced memory and data center connectivity solutions. The company designs and sells memory interface chips, silicon IP, and security technologies used in data centers, AI infrastructure, and high-performance computing. Key products include DDR5 memory interface chips (registered clock drivers and companion chips), HBM4E memory controller IP, and LPDDR5X server module chipsets. Rambus reported record Q2 FY2026 revenue of $207.4M (+20% YoY) with record product revenue of $99.2M (+22% YoY). Cash position of $824.9M. Market cap approximately $9.3B.</w:t>
      </w:r>
    </w:p>
    <w:p>
      <w:r>
        <w:rPr>
          <w:rFonts w:ascii="Calibri" w:hAnsi="Calibri"/>
          <w:b/>
          <w:color w:val="6E8450"/>
          <w:sz w:val="18"/>
        </w:rPr>
        <w:t>850 Employees · https://www.rambus.com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Rambus delivered record Q2 2026 revenue of $207.4M (+20% YoY), exceeding guidance, with record product revenue of $99.2M (+22% YoY, +13% QoQ) driven by DDR5 registered clock driver leadership and early companion chip gains [1]. This follows record 2025 annual product revenue of $347.8M (up 41% from 2024), confirming the successful transformation from a pure patent licensing company to a product-plus-licensing hybrid with genuine semiconductor product revenue now comprising nearly half of total revenue. AI Deployment (2/2): Rambus is at the cutting edge of AI-enabling semiconductor technology with its HBM4E memory controller IP (industry's fastest) and LPDDR5X SOCAMM2 server module chipsets specifically designed for AI server platforms [1][2]. Every AI accelerator requires high-bandwidth memory interfaces that Rambus designs — the company is a critical enabler, not just a beneficiary, of AI infrastructure buildout. Victor Peng (former Xilinx/AMD CEO) joined the board in February 2026 to strengthen AI strategy [2]. Market Share (2/2): Rambus holds a dominant position in DDR5 memory interface chips for server platforms and is a leading provider of memory IP to major semiconductor companies [1]. The licensing portfolio covers fundamental memory technologies with broad industry adoption across all major DRAM manufacturers. Product Pipeline (1/2): Q3 2026 guidance of $210-$216M (still ~20% YoY growth) signals sustained momentum, and the HBM4E and LPDDR5X roadmap positions Rambus for next-generation AI memory architectures [1]. R&amp;D Intensity (1/1): Significant R&amp;D investment in next-generation memory interface and security technologies, with 80%+ gross margins reflecting the high IP content and engineering differentiation in products.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Rambus's purpose — making data faster and safer through advanced semiconductor technology — is validated by 35+ years of execution through multiple computing paradigm shifts (SDRAM, DDR, DDR5, HBM) [1]. The company's technology fundamentally enables faster and more efficient data processing, which has increasing societal value as AI workloads grow exponentially. The mission has survived leadership transitions, business model transformation, and the controversial patent litigation era. Community Impact (1/2): Rambus has published ESG Impact Reports since 2020 following GRI and SASB standards [3]. The company focuses on ethical business practices, environmental responsibility, and workforce development, but direct community impact is limited by the B2B semiconductor IP business model. No significant ESG controversies identified. Employee Retention (1/2): New CFO Sumeet Gagneja joined April 2026 with two decades of semiconductor and AI-computing experience, and Victor Peng's board appointment strengthens governance [2]. CEO Luc Seraphin provides stable leadership with strong technical credibility. However, historical Glassdoor reviews cite concerns about layoffs and work-life balance that dampen the culture score. Insider Buying (1/2): Management compensation is significantly equity-aligned, and leadership changes (new CFO, board additions) signal strategic investment in the company's AI-focused future rather than entrenchment.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Rambus demonstrates exceptional financial strength across nearly every metric. The balance sheet is a fortress with D/E of just 1% and $824.9M in cash [4]. ROE of 17.79% exceeds the 15% target and is improving with product revenue scale [4]. Revenue growth of 20% YoY in Q2 significantly exceeds the 10% target, with Q3 guidance of $210-216M sustaining momentum [1]. Profit margin of 35.5% well exceeds the 20% target, reflecting the high-IP-content business model with 80%+ gross margins [4]. The valuation has become more attractive: Forward P/E of 25.11x is above the 20x target but reasonable for a 20%+ grower, and the PEG ratio of 1.04 is near the 1.0 target (scoring strongly with 2x weight) [4]. The stock easily clears the liquidity floor with daily trading value of ~$190M.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Rambus demonstrates strong infinite game characteristics — most notably the successful transformation from a patent-litigation-dependent business model to a product-plus-licensing company that creates genuine technological value. The company has sustained its core purpose of advancing memory technology across 35+ years and multiple computing paradigm shifts, and the current AI-driven growth cycle validates decades of fundamental research investment. The addition of Victor Peng to the board and new CFO Sumeet Gagneja signal proactive positioning for the next phase of growth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Rambus's purpose — solving the data bottleneck in computing through advanced memory technology — is forward-looking, inclusive (all computing benefits from faster memory), and resilient across 35+ years [1]. The company's technology has been essential through multiple computing eras: from SDRAM to DDR to DDR5 to HBM for AI. This cause has survived near-death experiences (the patent litigation era controversies, business model transformation) and continues to drive strategic direction today. The cause gains increasing urgency as AI workloads demand exponentially more memory bandwidth, and Q2 record results validate decades of purpose-driven investment.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Luc Seraphin provides stable technical leadership, and the April 2026 appointment of CFO Sumeet Gagneja (20+ years in semiconductor/AI computing) and February 2026 addition of board member Victor Peng (former Xilinx/AMD CEO) demonstrate intentional team-building for the AI era [2]. Historical Glassdoor data shows 78% of employees would recommend Rambus with CEO approval of 80/100, which are above-average metrics. However, reviews cite concerns about layoffs, inconsistent management feedback, and work-life balance, suggesting middle-management challenges even as senior leadership is well-regarded.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Rambus competes against formidable rivals including Synopsys and Cadence in semiconductor IP, and major memory manufacturers (Samsung, SK Hynix, Micron) who develop internal memory interface capabilities. The company's response has been to deepen its specialized expertise in memory interface technology rather than broaden into general semiconductor IP, and to build product revenue alongside licensing — using rivals' scale as motivation to increase its own engineering differentiation. The board addition of Victor Peng signals competitive awareness and ambition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Rambus's transformation from a patent licensing and litigation company to a product-plus-licensing business represents a textbook example of existential flexibility [1]. In the 2010s, the company was widely characterized as a 'patent troll' dependent on licensing revenue and legal enforcement. Under evolved leadership, Rambus invested heavily in semiconductor product capabilities — DDR5 memory interface chips, security solutions, silicon IP — while maintaining its licensing foundation. Product revenue grew from a small fraction to roughly half of total revenue (record $99.2M in Q2 2026), fundamentally changing the company's growth profile, customer relationships, and market perception.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decision to invest heavily in product development capabilities while already generating profitable licensing revenue required genuine courage — cannibalizing a comfortable, high-margin licensing business to build a riskier but more sustainable product franchise [1]. Rambus bet on the trend toward higher-bandwidth memory interfaces years before the AI data center boom validated the thesis. The HBM4E and LPDDR5X product investments represent continued forward-looking bets on next-generation memory architectures, and the strategic board and CFO appointments in early 2026 signal proactive positioning for the next growth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Rambus is a premier AI infrastructure play hiding in a semiconductor IP company, now trading at a more reasonable valuation. At 25.11x forward earnings with a PEG of 1.04, the stock offers growth-at-a-reasonable-price exposure to the AI memory bandwidth bottleneck [4]. Record Q2 2026 revenue of $207.4M (+20% YoY) with record product revenue of $99.2M (+22% YoY) demonstrate accelerating execution, and Q3 guidance of $210-216M sustains the growth trajectory [1]. The financial profile is exceptional: 35.5% profit margins, virtually zero debt (D/E 1%), ROE of 17.79%, and $824.9M in cash [4]. The HBM4E memory controller IP and LPDDR5X SOCAMM2 chipset address the next generation of AI memory architectures, expanding Rambus's addressable market as AI workloads demand exponentially more bandwidth. Strategic board and leadership additions (Victor Peng, CFO Sumeet Gagneja) position the company for continued AI-driven growth [2]. Inspire Impact Score of 44 (ALIGNED) makes Rambus accessible to faith-based investors.</w:t>
      </w:r>
    </w:p>
    <w:p>
      <w:pPr>
        <w:spacing w:after="120"/>
      </w:pPr>
      <w:r>
        <w:rPr>
          <w:rFonts w:ascii="Calibri" w:hAnsi="Calibri"/>
          <w:b w:val="0"/>
          <w:color w:val="3A4A28"/>
          <w:sz w:val="20"/>
        </w:rPr>
        <w:t>The bear case centers on cyclicality, concentration risk, and competitive threats. While the PEG of 1.04 is reasonable, the trailing P/E of 39.19 still prices in sustained 20%+ growth — any deceleration from AI-driven demand could trigger multiple compression [4]. The top five customers account for ~62% of revenue, creating concentration risk if major contracts are not renewed, and memory interface chip demand is tied to cyclical DRAM investment cycles [2]. Licensing revenue (~50% of total) is lumpy and subject to contract renewal risk and evolving IP law. Competition from Synopsys, Cadence, and vertically integrated memory manufacturers (Samsung, SK Hynix, Micron developing in-house solutions) could erode Rambus's technical differentiation over time. The $824.9M cash position is growing but management has not articulated a clear capital return or deployment strategy — a buyback or dividend initiation could catalyze re-rating, but inaction suggests capital allocation discipline may be lacking. Historical Glassdoor concerns about layoffs and work-life balance could impair retention of the specialized engineers essential for a semiconductor IP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HBM4E memory controller IP commercialization as next-generation AI accelerators adopt HBM4E memory, expanding Rambus's addressable market per server — Q3 guidance of $210-216M (+~20% YoY) signals continued product revenue acceleration [1]</w:t>
      </w:r>
    </w:p>
    <w:p>
      <w:pPr>
        <w:spacing w:before="40" w:after="40"/>
        <w:ind w:left="283"/>
      </w:pPr>
      <w:r>
        <w:rPr>
          <w:rFonts w:ascii="Calibri" w:hAnsi="Calibri"/>
          <w:b/>
          <w:color w:val="4A6B25"/>
          <w:sz w:val="20"/>
        </w:rPr>
        <w:t xml:space="preserve">2. </w:t>
      </w:r>
      <w:r>
        <w:rPr>
          <w:rFonts w:ascii="Calibri" w:hAnsi="Calibri"/>
          <w:b w:val="0"/>
          <w:color w:val="3A4A28"/>
          <w:sz w:val="20"/>
        </w:rPr>
        <w:t>DDR5 companion chip ramp driving product revenue growth beyond registered clock drivers, with Q2 record product revenue of $99.2M demonstrating successful portfolio expansion [1]</w:t>
      </w:r>
    </w:p>
    <w:p>
      <w:pPr>
        <w:spacing w:before="40" w:after="40"/>
        <w:ind w:left="283"/>
      </w:pPr>
      <w:r>
        <w:rPr>
          <w:rFonts w:ascii="Calibri" w:hAnsi="Calibri"/>
          <w:b/>
          <w:color w:val="4A6B25"/>
          <w:sz w:val="20"/>
        </w:rPr>
        <w:t xml:space="preserve">3. </w:t>
      </w:r>
      <w:r>
        <w:rPr>
          <w:rFonts w:ascii="Calibri" w:hAnsi="Calibri"/>
          <w:b w:val="0"/>
          <w:color w:val="3A4A28"/>
          <w:sz w:val="20"/>
        </w:rPr>
        <w:t>Potential capital return program from $824.9M cash position (buyback or dividend initiation) could catalyze multiple re-rating and attract income-oriented investors to an already-attractive growth story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risk — top 5 customers at ~62% of revenue, and demand is tied to cyclical DRAM investment cycles that could produce a semiconductor capex downturn materially impacting product sales [2]</w:t>
      </w:r>
    </w:p>
    <w:p>
      <w:pPr>
        <w:spacing w:before="40" w:after="40"/>
        <w:ind w:left="283"/>
      </w:pPr>
      <w:r>
        <w:rPr>
          <w:rFonts w:ascii="Calibri" w:hAnsi="Calibri"/>
          <w:b/>
          <w:color w:val="4A6B25"/>
          <w:sz w:val="20"/>
        </w:rPr>
        <w:t xml:space="preserve">2. </w:t>
      </w:r>
      <w:r>
        <w:rPr>
          <w:rFonts w:ascii="Calibri" w:hAnsi="Calibri"/>
          <w:b w:val="0"/>
          <w:color w:val="3A4A28"/>
          <w:sz w:val="20"/>
        </w:rPr>
        <w:t>Licensing revenue (~50% of total) is lumpy and subject to contract renewal risk, evolving IP law, and potential pushback from major licensees seeking lower rates or alternative technologies</w:t>
      </w:r>
    </w:p>
    <w:p>
      <w:pPr>
        <w:spacing w:before="40" w:after="40"/>
        <w:ind w:left="283"/>
      </w:pPr>
      <w:r>
        <w:rPr>
          <w:rFonts w:ascii="Calibri" w:hAnsi="Calibri"/>
          <w:b/>
          <w:color w:val="4A6B25"/>
          <w:sz w:val="20"/>
        </w:rPr>
        <w:t xml:space="preserve">3. </w:t>
      </w:r>
      <w:r>
        <w:rPr>
          <w:rFonts w:ascii="Calibri" w:hAnsi="Calibri"/>
          <w:b w:val="0"/>
          <w:color w:val="3A4A28"/>
          <w:sz w:val="20"/>
        </w:rPr>
        <w:t>Competitive threat from larger semiconductor IP companies (Synopsys, Cadence) or vertically integrated memory manufacturers developing in-house solutions that could erode Rambus's technology moat over time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Rambus is not merely AI-resilient — AI is the company's primary growth catalyst. Every AI accelerator (NVIDIA GPUs, Google TPUs, custom ASICs) requires high-bandwidth, low-latency memory interfaces that Rambus designs and sells [1]. The company's HBM4E memory controller IP and LPDDR5X server module chipsets are purpose-built for AI data center infrastructure. AI cannot disrupt Rambus because Rambus provides the physical semiconductor IP and chips that AI systems require to function. The memory bottleneck in AI training and inference is becoming more acute as model sizes grow, directly benefiting Rambus's product roadmap. Record product revenue of $99.2M in Q2 (+22% YoY) validates this thesis [1]. The only risk vector is competitive: larger semiconductor IP companies (Synopsys, Cadence) or vertically integrated chipmakers could develop competing memory interface solutions, but Rambus's 35-year head start and extensive patent portfolio create significant barriers. Customer concentration (top 5 at ~62% of revenue) adds non-AI-specific risk. AI Opportunity (1/1): AI data center buildout is driving record demand for Rambus products. The transition from DDR5 to HBM and LPDDR5X architectures expands Rambus's addressable market within each AI server, and Q3 guidance of $210-216M signals continued AI-driven momentum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Rambus Q2 FY2026 Financial Results — Record Revenue $207.4M (+20% YoY), Record Product Revenue $99.2M (+22% YoY), GAAP EPS $0.61, Q3 Guidance $210-216M, July 2026</w:t>
      </w:r>
    </w:p>
    <w:p>
      <w:pPr>
        <w:spacing w:before="20" w:after="20"/>
        <w:ind w:left="170"/>
      </w:pPr>
      <w:r>
        <w:rPr>
          <w:rFonts w:ascii="Calibri" w:hAnsi="Calibri"/>
          <w:b/>
          <w:color w:val="4A6B25"/>
          <w:sz w:val="15"/>
        </w:rPr>
        <w:t xml:space="preserve">2. </w:t>
      </w:r>
      <w:r>
        <w:rPr>
          <w:rFonts w:ascii="Calibri" w:hAnsi="Calibri"/>
          <w:b w:val="0"/>
          <w:color w:val="3A4A28"/>
          <w:sz w:val="17"/>
        </w:rPr>
        <w:t>Rambus Leadership &amp; Board — CEO Luc Seraphin, CFO Sumeet Gagneja (April 2026), Victor Peng Board Addition (February 2026), Customer Concentration Risk — Rambus.com, Globe and Mail, September 2026</w:t>
      </w:r>
    </w:p>
    <w:p>
      <w:pPr>
        <w:spacing w:before="20" w:after="20"/>
        <w:ind w:left="170"/>
      </w:pPr>
      <w:r>
        <w:rPr>
          <w:rFonts w:ascii="Calibri" w:hAnsi="Calibri"/>
          <w:b/>
          <w:color w:val="4A6B25"/>
          <w:sz w:val="15"/>
        </w:rPr>
        <w:t xml:space="preserve">3. </w:t>
      </w:r>
      <w:r>
        <w:rPr>
          <w:rFonts w:ascii="Calibri" w:hAnsi="Calibri"/>
          <w:b w:val="0"/>
          <w:color w:val="3A4A28"/>
          <w:sz w:val="17"/>
        </w:rPr>
        <w:t>Rambus ESG Impact Report — GRI/SASB Aligned, Published 2024, No Controversies Identified — rambus.com,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RMBS Key Statistics: Forward P/E 25.11x, PEG 1.04, ROE 17.79%, Profit Margin 35.5%, D/E 1%, TTM Revenue $645.5M,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