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RMT</w:t>
      </w:r>
      <w:r>
        <w:rPr>
          <w:rFonts w:ascii="Calibri" w:hAnsi="Calibri"/>
          <w:b/>
          <w:color w:val="1A2010"/>
          <w:sz w:val="40"/>
        </w:rPr>
        <w:t xml:space="preserve">  Royce Micro-Cap Trust,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2026-10-14 · Inspire: 0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E3F2FD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2563EB"/>
                <w:sz w:val="20"/>
              </w:rPr>
              <w:t>WATCH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49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Asset Management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Royce Micro-Cap Trust is a diversified closed-end investment company managed by Royce Investment Partners, a majority-owned subsidiary of Franklin Resources. The fund invests primarily in micro-cap and small-cap U.S. equities with a value-oriented discipline, targeting companies with market capitalizations below $500M. As of August 31, 2026, NAV was $15.55 per share with the market price at $14.00, representing a ~10% discount. The fund targets annual distributions at 7% of rolling four-quarter-end average NAV. Top sector allocations include Industrials (25.6%), Information Technology (21.0%), and Financials (~15%). The fund has delivered 44.75% 1-year and 14.50% 10-year annualized NAV returns [1].</w:t>
      </w:r>
    </w:p>
    <w:p>
      <w:r>
        <w:rPr>
          <w:rFonts w:ascii="Calibri" w:hAnsi="Calibri"/>
          <w:b/>
          <w:color w:val="6E8450"/>
          <w:sz w:val="18"/>
        </w:rPr>
        <w:t>https://www.roycefunds.com/funds/royce-micro-cap-trust/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(0/3): Royce Micro-Cap Trust has maintained the same investment mandate — micro-cap value investing — since its 1993 inception. No product launches, business model transformations, or strategic pivots in the past five years [1]. AI Deployment (0/2): No AI-powered products or services deployed. Royce Investment Partners is a traditional fundamental research firm with no publicly disclosed AI-driven investment analytics or algorithmic trading capabilities [2]. Market Share (1/2): Royce is a meaningful player in micro-cap investing with over 45 years of small-cap specialization and what they describe as 'the largest and most experienced investment team' in their history, having added 15 investment professionals over the past five years [2]. With net assets under $1B, the fund is not a category leader by AUM. Pipeline (1/2): Royce identifies structural tailwinds from AI supply-chain spending and reshoring as creating opportunities for portfolio companies, and the firm's strategic succession plan and team expansion provide continuity [2]. R&amp;D Intensity (0/1): Not applicable for a closed-end fund.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Royce Investment Partners' stated purpose centers on their 45+ year commitment to small-cap investing and 'unparalleled domain knowledge of the small-company investment universe' [2]. This is clear and identifies what the firm does and for whom, but describes a business specialization, not a deeper purpose that inspires beyond financial returns. Community Impact (0/2): No specific charitable programs, foundation activity, or community investment identified. ESG integration is a risk-management overlay rather than mission-driven engagement — the fund's semiannual report states investment staff are 'under no obligation to exclude investments with relatively poor third-party ESG ratings' [3]. Employee Retention (1/2): The firm highlights a strategic succession plan developed over nearly a decade, multigenerational investment teams, Co-CIO structure, and the addition of 15 investment professionals over five years, suggesting organizational stability [2]. Insider Buying (0/2): Founder Charles Royce sold 996,549 shares ($7.4M) since 2021 with zero purchases, most recently 200,000 shares in November 2025, signaling sustained selling [4]. While President Clark (6,500 shares) and Secretary Denneen (4,000 shares) made modest purchases in 2026, the founder's persistent selling overwhelms the insider buying signal.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Dividend stock, though fund-level metrics are less meaningful than operating company metrics. D/E of 3.3% reflects minimal leverage (score 1.0) — the fund does not employ meaningful financial leverage, reducing downside risk in volatile micro-cap markets [1]. ROE of 51.6% (score 1.0) and profit margin of 73.5% (score 1.0) reflect strong investment returns through August 2026, with 1-year NAV return of 44.75% significantly outpacing the Russell 2000 [1]. Revenue growth of 8.9% scores 0.96 against the 10% target. On dividend metrics, 33 consecutive years of distributions since 1993 inception earns full marks (score 1.0, 2x weight), and payout ratio of ~48% scores 0.87 [5]. However, consecutive years of distribution growth is 0 (distributions vary with NAV under the 7% policy), and 5yr dividend growth CAGR of ~3% scores 0.50 (2x weight), reflecting variable distributions. Liquidity floor cleared: 103K avg vol x $13.15 = $1.36M daily dollar volume — barely above the $1M threshold [6].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Royce Micro-Cap Trust benefits from Royce Investment Partners' 45+ year dedication to small-cap investing, demonstrating consistency of purpose that Sinek would value. The multigenerational succession planning, Co-CIO structure, and team expansion (15 professionals added over 5 years) show commitment to organizational endurance. However, as a closed-end fund, the entity is fundamentally a financial vehicle — its purpose is returns, not a transformative vision. The infinite-game framework is structurally difficult to apply to a CEF, and founder Chuck Royce's sustained share sales ($7.4M since 2021 with zero purchases) contrast with the long-term conviction the framework rewards.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Royce's purpose is small-cap value investing — finding undervalued micro-cap companies and generating returns for shareholders. While the 45-year commitment to this niche demonstrates remarkable consistency, the cause is financial rather than transformative [2]. There is no articulated vision of a better future; the firm exists to generate alpha in an asset class. The closest analog to a Just Cause is the implicit belief that small companies deserve capital and attention from skilled investors, but this is not articulated as a purpose statement.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Royce Investment Partners has implemented a strategic succession plan over nearly a decade, including multigenerational investment teams, a Co-CIO structure (Francis Gannon and Chris Clark), and Management and Risk Committees [2]. Adding 15 investment professionals over five years while maintaining the 'largest and most experienced investment team in its history' suggests organizational stability. However, as a subsidiary of Franklin Resources, the culture is ultimately shaped by a large corporate parent, and specific employee trust metrics are not available.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(1/1): Royce's competitive posture suggests an infinite competitive mindset — the firm emphasizes its own 45-year specialization and investment discipline rather than attacking competitors [2]. Management identifies opportunities across 'non-AI areas' including consumer, healthcare, packaging, and industrial supply chains, demonstrating focus on their own circle of competence rather than chasing trends or trying to beat specific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Royce Micro-Cap Trust has maintained the same investment mandate since its 1993 inception — micro-cap value investing with a bottom-up, fundamentals-driven approach [1]. While consistency is a strength in asset management (investors want predictable mandates), Sinek's framework rewards transformative adaptation. The closed-end fund structure inherently limits existential flexibility — a CEF cannot pivot to a different business without shareholder approval. No strategic reinvention or business model pivot has occurred.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Royce's commitment to micro-cap value investing through multiple market cycles — including periods when growth dramatically outperformed value (2018-2020) and when micro-caps were deeply out of favor — demonstrates discipline and willingness to endure short-term underperformance for long-term conviction [1]. The proactive succession planning and team expansion represent investment in future capability. However, these are standard asset management practices rather than costly, contrarian leadership decisions that sacrificed near-term results for long-term capability.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Royce Micro-Cap Trust at $13.15 offers access to a diversified portfolio of 177+ micro-cap equities managed by one of the most experienced small-cap teams in the industry, with 45+ years of specialization and 14.50% 10-year annualized NAV returns [1]. The fund has delivered exceptional recent performance — 44.75% 1-year NAV return as of August 31, 2026 — with YTD NAV return of 36.14% significantly outpacing the Russell 2000 [1]. The 5.9% distribution yield (quarterly $0.21/share, raised from $0.19) based on the 7% annual NAV distribution policy provides attractive income, while minimal leverage (D/E 3.3%) reduces downside risk [5]. At $13.15 market price versus $15.55 NAV (August 31), the fund trades at a ~15% discount, offering built-in value for patient investors. Micro-cap exposure to AI supply-chain spending, reshoring trends, and infrastructure investment creates structural tailwinds for the domestic small companies comprising nearly half the portfolio (Industrials 25.6%, IT 21.0%)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centers on structural headwinds facing actively managed closed-end funds and the unsustainability of recent performance. The 44.75% 1-year NAV return reflects extraordinary micro-cap momentum that is unlikely to persist — historical long-term returns for micro-cap value average 10-12% annually, and mean reversion is the base case [1]. NAV has already declined from $16.75 (June 30) to $15.55 (August 31), a -7.2% decline in two months. Passive index funds and ETFs continue to attract capital at the expense of active managers, and micro-cap CEFs trade at structurally volatile premiums and discounts to NAV. Founder Chuck Royce has sold 996,549 shares ($7.4M) since 2021 with zero purchases, most recently 200,000 shares in November 2025, signaling reduced long-term conviction from the person most identified with the brand [4]. The 1.20% expense ratio creates permanent drag versus passive micro-cap alternatives. The 7% NAV distribution policy means distributions shrink during downturns precisely when income investors need stability most. Micro-cap liquidity risk is acute — daily dollar volume of $1.36M barely clears the $1M threshold, and the underlying holdings are even less liquid, amplifying drawdown risk in market stress [6]. The stock's decline from $14.22 to $13.15 (down 7.5% since August) may foreshadow broader small-cap weakness.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Exceptional micro-cap performance — 44.75% 1-year and 36.14% YTD NAV returns as of August 31, 2026, driven by micro-cap value rotation, AI supply-chain spending, and reshoring trends benefiting Industrials (25.6%) and IT (21.0%) allocations 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15% discount to NAV ($13.15 market vs. $15.55 NAV) provides built-in value and margin of safety, with potential for discount narrowing if micro-cap outperformance continues and the fund attracts renewed investor attention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Distribution increase from $0.19 to $0.21 quarterly (5.9% yield) signals management confidence in sustaining fund performance, and the 7% NAV-based distribution policy provides automatic income growth during rising markets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Micro-cap illiquidity risk — daily dollar volume of $1.36M barely clears the liquidity floor, and the underlying 177+ holdings are thinly-traded micro-caps that could suffer significant price impact during forced selling or market stress [1][6]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Founder Chuck Royce's sustained selling (996,549 shares, $7.4M since 2021 with zero purchases, most recently 200,000 shares in November 2025) signals reduced personal conviction from the individual most identified with the fund's brand and investment philosophy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Variable distribution policy means income is unreliable — distributions are tied to trailing NAV and shrink during downturns; NAV has already declined 7.2% from $16.75 to $15.55 in two months (June-August 2026), and the recent micro-cap rally may be normalizing [1][5]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(6/9): Royce Micro-Cap Trust's core business — active micro-cap equity investing — faces moderate AI disruption risk [2]. AI-powered quantitative strategies and algorithmic trading are increasingly competing with fundamental stock-picking in small and micro-cap markets, and AI tools could reduce the information advantage that human analysts have traditionally held in under-researched micro-cap names. However, micro-cap investing involves illiquid, thinly-traded securities where relationship-based research, management meetings, and qualitative judgment retain significant value that AI cannot easily replicate. The fund's 45-year track record and deep specialization provide a meaningful moat. The bigger structural risk is passive investing flows continuing to drain capital from actively managed closed-end funds. AI Opportunity (0/1): The fund generates no AI-related revenue, though the portfolio benefits indirectly from AI adoption among micro-cap holdings, with managers highlighting AI supply-chain and reshoring opportunities across the Industrials (25.6%) and IT (21.0%) sector allocations 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Royce Micro-Cap Trust Monthly NAV Updates — NAV $15.55 (Aug 31, 2026), 1-Year NAV Return 44.75%, YTD 36.14%, 5-Year 11.81%, 10-Year 14.50% Annualized, Discount ~10-15% — PR Newswire/StockTitan,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Royce Investment Partners / Franklin Templeton — 45-Year Small-Cap Specialization, Succession Planning, Team Expansion (15 Professionals Added), Co-CIO Structure, AI Supply-Chain Thematic Views —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Royce Micro-Cap Trust Semi-Annual Report FY2026 — ESG Integration Statement, Investment Staff ESG Disclosure — SEC N-CSRS Filing,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Insider Trading — Founder Charles Royce: 5 Sales, 996,549 Shares, $7.4M Since 2021, Most Recent Nov 2025; President Clark Bought 6,500 Shares Mar 2026; Secretary Denneen Bought 4,000 Shares Jun 2026 — GuruFocus/StockTitan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Royce Micro-Cap Trust Distribution — Q2 2026 Distribution $0.21/Share (Raised from $0.19), Targeting 7% Annual Rate of Rolling 4Q Average NAV, Yield ~5.9% — StockTitan,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Yahoo Finance / StockAnalysis — RMT Key Statistics: Stock Price $13.15, D/E 3.3%, ROE 51.6%, Profit Margin 73.5%, Avg Volume 103K — accessed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