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RNA</w:t>
      </w:r>
      <w:r>
        <w:rPr>
          <w:rFonts w:ascii="Calibri" w:hAnsi="Calibri"/>
          <w:b/>
          <w:color w:val="1A2010"/>
          <w:sz w:val="40"/>
        </w:rPr>
        <w:t xml:space="preserve">  Atrium Therapeutics, Inc.</w:t>
      </w:r>
    </w:p>
    <w:p>
      <w:pPr>
        <w:spacing w:after="120"/>
      </w:pPr>
      <w:r>
        <w:rPr>
          <w:rFonts w:ascii="Calibri" w:hAnsi="Calibri"/>
          <w:b/>
          <w:color w:val="6E8450"/>
          <w:sz w:val="18"/>
        </w:rPr>
        <w:t>GROWTH SLEEVE · 2026-09-18 · Inspire: 35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Atrium Therapeutics is a preclinical-stage biopharmaceutical company focused on delivering RNA therapeutics directly to the heart to treat rare genetic cardiomyopathies. Spun out of Avidity Biosciences following Novartis's $12B acquisition in February 2026, Atrium launched with approximately $270M in cash, two lead candidates (ATR 1072 for PRKAG2 syndrome, ATR 1086 for PLN cardiomyopathy), two undisclosed research programs, and a Bristol Myers Squibb collaboration worth up to $2.175B in milestones plus royalties. CEO Kathleen Gallagher (former Avidity chief program officer) leads the company with Sarah Boyce (former Avidity CEO) as board chair. H1 2026 collaboration revenue of $22.6M with $263.9M cash on hand.</w:t>
      </w:r>
    </w:p>
    <w:p>
      <w:r>
        <w:rPr>
          <w:rFonts w:ascii="Calibri" w:hAnsi="Calibri"/>
          <w:b/>
          <w:color w:val="6E8450"/>
          <w:sz w:val="18"/>
        </w:rPr>
        <w:t>https://atriumtherapeutics.com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Atrium Therapeutics was incorporated in 2025 and launched publicly on February 27, 2026 — there is no independent product launch, market pivot, or business model transformation to evaluate [2]. The company inherited Avidity Biosciences' antibody-oligonucleotide conjugate (AOC) platform for cardiac delivery but has not yet independently demonstrated execution beyond utilizing transferred technology. AI Deployment (0/2): No AI-powered products or AI-driven operational efficiencies. The company is focused on wet-lab preclinical RNA therapeutics development with no AI application evident in its operations [2]. Market Share (1/2): Atrium occupies a differentiated niche in cardiac-targeted RNA delivery — the AOC platform enabled the first successful delivery of RNA to muscle at Avidity (three programs into registrational development before Novartis acquisition) and is now being applied to heart tissue, a space with limited direct competition [2]. Product Pipeline (2/2): Two named candidates with specific timelines: ATR 1072 (PRKAG2 syndrome) IND filing planned H2 2026, ATR 1086 (PLN cardiomyopathy) IND planned 2027, plus two undisclosed research programs. The BMS collaboration generated $22.6M in H1 2026 collaboration revenue and is worth up to $2.175B in total milestones plus tiered royalties [1][3]. R&amp;D Intensity (0/1): As a preclinical company spending essentially all capital on R&amp;D, intensity is structurally maximal but not meaningfully differentiated from biotech peers at this stage.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Atrium's mission to 'pave a new path for precision cardiology' by delivering RNA medicines directly to the heart is specific, patient-focused, and reflects genuine intentionality [2]. CEO Kathleen Gallagher emphasizes transforming outcomes for patients with PRKAG2 syndrome and PLN cardiomyopathy who currently have no treatment options — connecting the company's work to alleviating suffering from rare, life-threatening genetic conditions. The mission clearly differentiates from peers and guides strategic decisions. Community Impact (0/2): No evidence of charitable programs or community investment — the company is approximately 7 months old with no established CSR track record. Employee Retention (0/2): No employee retention or culture data available for a company that launched in February 2026 with a newly assembled team spun out from Avidity. Insider Buying (0/2): CEO Gallagher received equity grants as founding compensation, but these are standard executive awards, not open-market purchases demonstrating personal conviction.</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Growth metrics (ROE null, Forward P/E negative, PEG null, 5yr CAGR null — all excluded for a pre-commercial biotech spinoff). Only three metrics are scoreable: D/E of 0.78% scores at maximum (minimal debt against $263.9M cash reserves), while revenue growth YoY of -21.9% and profit margin of -184.2% both score zero [1][4]. The revenue decline is misleading — it reflects lumpy collaboration milestone timing rather than deteriorating fundamentals (H1 2026 collaboration revenue of $22.6M was driven by a single BMS milestone payment). The -184% profit margin reflects a preclinical-stage company burning $36.8M in H1 on $22.6M in collaboration revenue [1]. Cash of $263.9M as of June 30, 2026 provides approximately 3-4 years of runway at current burn rates, and the stock trades below cash value ($163.5M market cap vs $263.9M cash). Liquidity floor cleared: 229,768 avg volume x $9.56 = $2.2M daily.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Atrium Therapeutics is too new (launched February 2026) to have demonstrated infinite game characteristics through crises, leadership transitions, or multi-year strategic consistency. The company has a genuine and specific purpose in rare precision cardiology, but with approximately 7 months of independent operating history, the cause remains entirely untested. Sinek would note that purpose alone does not make an infinite game player — it must be validated through sustained execution and difficult trade-offs.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Atrium's cause — transforming care for people living with rare, life-threatening genetic cardiomyopathies through precision RNA delivery to the heart — is genuine, specific, and service-oriented [2]. It describes a future state where patients with PRKAG2 syndrome and PLN cardiomyopathy have treatment options that do not currently exist. The cause is inclusive (patients, families, caregivers), idealistic (a world where genetic heart disease is treatable), and big (precision cardiology is a vast emerging field). CEO Gallagher's framing reflects personal conviction. However, the cause has not been tested through crisis, leadership transition, or multi-year execution — it remains aspirational rather than validated.</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Atrium launched in February 2026 with a newly assembled team spun out from Avidity Biosciences. No data exists on employee tenure, voluntary turnover, or organizational culture [2]. CEO Gallagher and Board Chair Sarah Boyce (Avidity's former CEO) provide continuity from the parent organization, but the company is too young to evaluate trust dynamics, psychological safety, or organizational health.</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competitive framing. Atrium operates in a niche with limited direct competition in cardiac-targeted RNA delivery [2]. No management commentary referencing competitors or acknowledging rival strengths was identified. The company's positioning emphasizes its unique AOC platform and the opportunity in underserved rare cardiomyopathies rather than learning from competitive dynamics.</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Atrium is a brand-new company that has not yet faced any existential test. The company has a focused pipeline (cardiac RNA therapeutics, two lead candidates, two research programs) but has not demonstrated willingness or ability to pivot if the core AOC-to-heart approach encounters setbacks [2]. The narrow indication focus (PRKAG2, PLN) is strategically appropriate for a preclinical biotech but represents the company's initial orientation, not a demonstrated capacity for strategic reinvention.</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courageous leadership decisions — the company is approximately 7 months old and has not yet faced trade-offs between short-term and long-term results that test leadership courage [2]. CEO Gallagher accepted the challenge of leading a spinoff biotech focused on rare cardiac diseases, which demonstrates ambition, but the company was capitalized with $270M and launched with a productive BMS collaboration — this is an advantaged start rather than a pattern of courageous conviction.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Atrium Therapeutics trades below cash value — $163.5M market cap versus $263.9M in cash as of June 30, 2026 — implying the market assigns negative value to a differentiated precision cardiology pipeline and a Bristol Myers Squibb collaboration worth up to $2.175B in milestones plus royalties [1][3]. The AOC platform's clinical validation at Avidity (three programs reached registrational development, leading to Novartis's $12B acquisition) provides technology credibility for Atrium's cardiac application. Lead candidate ATR 1072 (PRKAG2 syndrome) IND filing is expected in H2 2026, representing the first major clinical milestone for the independent company. H1 2026 collaboration revenue of $22.6M demonstrates the BMS relationship is productive and providing non-dilutive funding. The $100M+ discount to cash value creates asymmetric upside if ATR 1072 Phase 1 data proves the platform's cardiac delivery capability. Inspire Impact Score of 35 (ALIGNED) with 7 positive attributions supports faith-based allocation.</w:t>
      </w:r>
    </w:p>
    <w:p>
      <w:pPr>
        <w:spacing w:after="120"/>
      </w:pPr>
      <w:r>
        <w:rPr>
          <w:rFonts w:ascii="Calibri" w:hAnsi="Calibri"/>
          <w:b w:val="0"/>
          <w:color w:val="3A4A28"/>
          <w:sz w:val="20"/>
        </w:rPr>
        <w:t>The bear case is substantial for a preclinical-stage biotech with zero approved products and no sustainable revenue. H1 2026 net loss of $36.8M (annualized ~$74M) is consuming the $263.9M cash position at a rate that implies 3-4 years of runway before requiring dilutive financing [1]. Revenue declined -21.9% YoY (per trailing metrics) as collaboration milestones are lumpy and unpredictable. Both lead candidates are preclinical, meaning 5-7+ years of clinical development risk before potential commercialization — the probability of approval from preclinical stage is approximately 5-10%. The stock price decline from $11.49 to $9.56 (-17% since July) reflects market skepticism about the timeline to value-creating milestones. As a newly public spinoff with ~7 months of independent operating history, Atrium has no institutional track record, limited analyst coverage, and a shareholder base largely inherited from Avidity investors who received Atrium shares as a distribution rather than through deliberate investment.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ATR 1072 IND filing for PRKAG2 syndrome expected H2 2026 — the first major clinical milestone for the independent company and a potential catalyst for re-rating above cash value if the IND is accepted and Phase 1 initiates [2]</w:t>
      </w:r>
    </w:p>
    <w:p>
      <w:pPr>
        <w:spacing w:before="40" w:after="40"/>
        <w:ind w:left="283"/>
      </w:pPr>
      <w:r>
        <w:rPr>
          <w:rFonts w:ascii="Calibri" w:hAnsi="Calibri"/>
          <w:b/>
          <w:color w:val="4A6B25"/>
          <w:sz w:val="20"/>
        </w:rPr>
        <w:t xml:space="preserve">2. </w:t>
      </w:r>
      <w:r>
        <w:rPr>
          <w:rFonts w:ascii="Calibri" w:hAnsi="Calibri"/>
          <w:b w:val="0"/>
          <w:color w:val="3A4A28"/>
          <w:sz w:val="20"/>
        </w:rPr>
        <w:t>Bristol Myers Squibb collaboration milestone payments providing non-dilutive funding and ongoing validation of the AOC platform technology — $22.6M in H1 2026 revenue from a single milestone, with up to $2.175B in total milestones remaining [1][3]</w:t>
      </w:r>
    </w:p>
    <w:p>
      <w:pPr>
        <w:spacing w:before="40" w:after="40"/>
        <w:ind w:left="283"/>
      </w:pPr>
      <w:r>
        <w:rPr>
          <w:rFonts w:ascii="Calibri" w:hAnsi="Calibri"/>
          <w:b/>
          <w:color w:val="4A6B25"/>
          <w:sz w:val="20"/>
        </w:rPr>
        <w:t xml:space="preserve">3. </w:t>
      </w:r>
      <w:r>
        <w:rPr>
          <w:rFonts w:ascii="Calibri" w:hAnsi="Calibri"/>
          <w:b w:val="0"/>
          <w:color w:val="3A4A28"/>
          <w:sz w:val="20"/>
        </w:rPr>
        <w:t>Market recognition that the stock trades at a $100M+ discount to cash ($9.56 share price, $163.5M market cap vs $263.9M cash) with a platform validated by Novartis's $12B acquisition of the parent company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Preclinical-stage binary risk — both lead candidates (ATR 1072, ATR 1086) have not yet entered human clinical trials, with historical probability of approval from preclinical stage of approximately 5-10% over a 5-7+ year development timeline [2]</w:t>
      </w:r>
    </w:p>
    <w:p>
      <w:pPr>
        <w:spacing w:before="40" w:after="40"/>
        <w:ind w:left="283"/>
      </w:pPr>
      <w:r>
        <w:rPr>
          <w:rFonts w:ascii="Calibri" w:hAnsi="Calibri"/>
          <w:b/>
          <w:color w:val="4A6B25"/>
          <w:sz w:val="20"/>
        </w:rPr>
        <w:t xml:space="preserve">2. </w:t>
      </w:r>
      <w:r>
        <w:rPr>
          <w:rFonts w:ascii="Calibri" w:hAnsi="Calibri"/>
          <w:b w:val="0"/>
          <w:color w:val="3A4A28"/>
          <w:sz w:val="20"/>
        </w:rPr>
        <w:t>Cash runway dependency — $263.9M cash supports approximately 3-4 years at the H1 2026 annualized burn rate of ~$74M, with R&amp;D spending expected to accelerate as programs advance toward IND filings and Phase 1 trials [1]</w:t>
      </w:r>
    </w:p>
    <w:p>
      <w:pPr>
        <w:spacing w:before="40" w:after="40"/>
        <w:ind w:left="283"/>
      </w:pPr>
      <w:r>
        <w:rPr>
          <w:rFonts w:ascii="Calibri" w:hAnsi="Calibri"/>
          <w:b/>
          <w:color w:val="4A6B25"/>
          <w:sz w:val="20"/>
        </w:rPr>
        <w:t xml:space="preserve">3. </w:t>
      </w:r>
      <w:r>
        <w:rPr>
          <w:rFonts w:ascii="Calibri" w:hAnsi="Calibri"/>
          <w:b w:val="0"/>
          <w:color w:val="3A4A28"/>
          <w:sz w:val="20"/>
        </w:rPr>
        <w:t>Inherited shareholder base from Avidity distribution (1 Atrium share per 10 Avidity shares) creates persistent selling pressure as investors who did not choose to own a preclinical cardiac biotech liquidate positions — stock declined 17% from $11.49 to $9.56 since July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RNA-based drug development targeting rare genetic cardiomyopathies is structurally immune to AI disruption. The core value proposition — delivering therapeutic RNA molecules directly to heart tissue via antibody-oligonucleotide conjugates — requires physical molecular engineering, wet-lab biology, animal models, and multi-year clinical trials that AI structurally cannot substitute [2]. Drug development in rare diseases involves deep regulatory complexity (orphan drug pathways, FDA breakthrough designations), extremely small patient populations, and specialized manufacturing that create natural moats against AI displacement. AI may accelerate certain drug discovery functions (target identification, molecular optimization, clinical trial design), but this benefits rather than threatens companies like Atrium — AI is a tool for drug developers, not a replacement for them. AI Opportunity (0/1): No evidence of AI-generated revenue or AI-powered products. Atrium is a preclinical biotech without AI-specific commercial applications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Atrium Therapeutics H1 2026 Financial Results — Collaboration Revenue $22.6M, Net Loss $36.8M, Cash $263.9M, R&amp;D Ramp, BMS Milestone, PRNewswire/NASDAQ, August 2026</w:t>
      </w:r>
    </w:p>
    <w:p>
      <w:pPr>
        <w:spacing w:before="20" w:after="20"/>
        <w:ind w:left="170"/>
      </w:pPr>
      <w:r>
        <w:rPr>
          <w:rFonts w:ascii="Calibri" w:hAnsi="Calibri"/>
          <w:b/>
          <w:color w:val="4A6B25"/>
          <w:sz w:val="15"/>
        </w:rPr>
        <w:t xml:space="preserve">2. </w:t>
      </w:r>
      <w:r>
        <w:rPr>
          <w:rFonts w:ascii="Calibri" w:hAnsi="Calibri"/>
          <w:b w:val="0"/>
          <w:color w:val="3A4A28"/>
          <w:sz w:val="17"/>
        </w:rPr>
        <w:t>Atrium Therapeutics Launch — $270M Cash, AOC Platform, Precision Cardiology Mission, CEO Kathleen Gallagher, ATR 1072 IND H2 2026, ATR 1086 IND 2027, BioSpace/FierceBiotech/PharmaVoice, February-March 2026</w:t>
      </w:r>
    </w:p>
    <w:p>
      <w:pPr>
        <w:spacing w:before="20" w:after="20"/>
        <w:ind w:left="170"/>
      </w:pPr>
      <w:r>
        <w:rPr>
          <w:rFonts w:ascii="Calibri" w:hAnsi="Calibri"/>
          <w:b/>
          <w:color w:val="4A6B25"/>
          <w:sz w:val="15"/>
        </w:rPr>
        <w:t xml:space="preserve">3. </w:t>
      </w:r>
      <w:r>
        <w:rPr>
          <w:rFonts w:ascii="Calibri" w:hAnsi="Calibri"/>
          <w:b w:val="0"/>
          <w:color w:val="3A4A28"/>
          <w:sz w:val="17"/>
        </w:rPr>
        <w:t>Bristol Myers Squibb Collaboration — $22.6M H1 2026 Revenue, Up to $2.175B Total Milestones ($1.35B Research/Development + $825M Commercial) Plus Tiered Royalties</w:t>
      </w:r>
    </w:p>
    <w:p>
      <w:pPr>
        <w:spacing w:before="20" w:after="20"/>
        <w:ind w:left="170"/>
      </w:pPr>
      <w:r>
        <w:rPr>
          <w:rFonts w:ascii="Calibri" w:hAnsi="Calibri"/>
          <w:b/>
          <w:color w:val="4A6B25"/>
          <w:sz w:val="15"/>
        </w:rPr>
        <w:t xml:space="preserve">4. </w:t>
      </w:r>
      <w:r>
        <w:rPr>
          <w:rFonts w:ascii="Calibri" w:hAnsi="Calibri"/>
          <w:b w:val="0"/>
          <w:color w:val="3A4A28"/>
          <w:sz w:val="17"/>
        </w:rPr>
        <w:t>Yahoo Finance — RNA Key Statistics: D/E 0.78%, Profit Margin -184.15%, Stock Price $9.56, Market Cap $163.5M, Avg Volume 229,768,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