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ROCK</w:t>
      </w:r>
      <w:r>
        <w:rPr>
          <w:rFonts w:ascii="Calibri" w:hAnsi="Calibri"/>
          <w:b/>
          <w:color w:val="1A2010"/>
          <w:sz w:val="40"/>
        </w:rPr>
        <w:t xml:space="preserve">  Gibraltar Industries, Inc.</w:t>
      </w:r>
    </w:p>
    <w:p>
      <w:pPr>
        <w:spacing w:after="120"/>
      </w:pPr>
      <w:r>
        <w:rPr>
          <w:rFonts w:ascii="Calibri" w:hAnsi="Calibri"/>
          <w:b/>
          <w:color w:val="6E8450"/>
          <w:sz w:val="18"/>
        </w:rPr>
        <w:t>GROWTH SLEEVE · 2026-10-14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NASDAQ · United States</w:t>
      </w:r>
    </w:p>
    <w:p>
      <w:pPr>
        <w:spacing w:after="80"/>
      </w:pPr>
      <w:r>
        <w:rPr>
          <w:rFonts w:ascii="Calibri" w:hAnsi="Calibri"/>
          <w:b w:val="0"/>
          <w:color w:val="3A4A28"/>
          <w:sz w:val="20"/>
        </w:rPr>
        <w:t>Gibraltar Industries, Inc. manufactures and provides products and services for the residential, agtech, and infrastructure markets in the United States and internationally. The company operates through Residential (roof ventilation, mail systems, metal roofing, rain dispersion), Agtech (custom greenhouse solutions, controlled environment agriculture), and Infrastructure (expansion joints, structural bearings, bridge cable protection) segments. The January 2026 OmniMax International acquisition transformed the Residential segment, driving Q2 2026 record net sales of $509.5M (+64.6% YoY) with adjusted EBITDA of $88M. Founded 1972, headquartered in Buffalo, New York [1].</w:t>
      </w:r>
    </w:p>
    <w:p>
      <w:r>
        <w:rPr>
          <w:rFonts w:ascii="Calibri" w:hAnsi="Calibri"/>
          <w:b/>
          <w:color w:val="6E8450"/>
          <w:sz w:val="18"/>
        </w:rPr>
        <w:t>2,300 Employees · https://www.gibraltar1.com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Gibraltar has executed a significant strategic transformation under CEO Bill Bosway (appointed 2019, Chairman since 2022), divesting the Renewables segment and completing the transformational OmniMax International acquisition for approximately $570M in expected annual revenue [1]. The Residential segment grew 84.9% to $425.9M in Q2 2026 with 19.0% adjusted EBITDA margins, validating the deal thesis. The 80/20 strategy fundamentally reshaped the portfolio from commodity steel to value-added building products. AI Deployment (0/2): No evidence of AI-powered products or quantified AI-driven cost savings. CDIO Christopher Lok focuses on e-business and IT capabilities rather than AI-specific deployments [2]. Market Share (1/2): Gibraltar holds meaningful positions in niche building products — roof ventilation, mail/package solutions, and controlled environment agriculture — and the OmniMax acquisition significantly increased residential scale, though the company is not a dominant category leader with specific share data [1]. Pipeline (1/2): The OmniMax integration provides clear near-term revenue visibility with 2026 guidance of $1.76-$1.83B and $3.65-$4.05 adjusted EPS, but product innovation beyond acquisition-driven growth is limited. R&amp;D Intensity (1/1): Gibraltar invests in product development for its Agtech segment (custom greenhouse engineering) and Infrastructure (bridge protection systems), with the E+E sustainability credentials suggesting above-average innovation investment for a building products peer group.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Gibraltar's purpose centers on making a positive impact through innovative products for the residential, agtech, and infrastructure markets, supported by a 14% reduction in Scope 1 and 2 emissions intensity since 2020 and TCFD-aligned climate disclosure [3]. CEO Bosway brings 29+ years of industrial leadership from Emerson Electric and Dover. The mission is functional rather than aspirational — it could describe any building products manufacturer. Community Impact (1/2): Gibraltar publishes annual Corporate Social Responsibility reports, achieved 50% board diversity, invested over 25,000 hours in employee training, and obtained external assurance for GHG emissions data [3]. No distinctive foundation or transformative community programs with specific dollar amounts identified. Employee Retention (0/2): Glassdoor ratings of 3.4/5 with only 23% CEO approval and 50% recommendation rate raise cultural red flags, particularly during a period of significant organizational disruption from the Renewables divestiture and OmniMax integration [2]. Insider Buying (1/2): Recent insider purchases at $35-$37 per share indicate some conviction during the stock's decline from $75 to current levels, though transactions are modest in size relative to executive compensation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Gibraltar's post-acquisition financial profile shows mixed fundamentals: revenue growth of 64.6% YoY (score 1.0) was driven entirely by OmniMax, while the 5-year revenue CAGR of -6.5% falls below the -5% floor (score 0.0, 2x weight) due to Renewables divestiture distortion [1][4]. Forward P/E of 7.71 scores a perfect 1.0, reflecting deep value at $37.10 versus $3.85 adjusted EPS midpoint guidance. D/E of 153.7% scores 0.64, elevated from $1.2B+ in OmniMax-related debt generating ~$21M quarterly interest expense [1][4]. ROE of 6.24% scores 0.42 (2x weight for Growth), depressed by acquisition charges and one-time costs. Profit margin of -10.4% on a GAAP TTM basis (score 0.0) reflects the Renewables discontinuation loss, though Q2 2026 continuing operations margin was 5.4% [1]. Forward PEG unavailable and excluded. Liquidity floor cleared: 332K avg vol x $37.10 = $12.3M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Gibraltar Industries demonstrates meaningful strategic evolution through its 54-year history, portfolio transformation under CEO Bosway, and willingness to exit profitable but misaligned businesses (Renewables divestiture). The OmniMax acquisition validates the strategy with record Q2 2026 results [1]. However, Glassdoor data showing 23% CEO approval raises concerns about organizational trust during integration, and the company's competitive positioning emphasizes market position and returns rather than a transcendent purpose. The strategic pivots have been driven by financial optimization rather than a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Gibraltar's purpose — delivering innovative building products that improve residential, agricultural, and infrastructure outcomes — is genuine and connects to real-world impact through physical products that shelter people, grow food, and maintain infrastructure [1][3]. The 54-year operating history demonstrates durability, and the decision to exit Renewables to focus on core competencies shows principled portfolio management. However, the cause is operational rather than transformative — CEO Bosway's lean manufacturing background reflects competence-driven rather than vision-driven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presents concerning signals — 3.4/5 overall rating with only 23% CEO approval and 50% recommendation rate, significantly below industry norms [2]. Individual reviews cite concerns about safety, job security, and board stock awards. The Renewables divestiture and OmniMax integration create significant organizational disruption that appears to be impacting employee trust. While the sample size is limited (30 reviews), the 23% CEO approval is a meaningful red flag for an organization going through transformational change.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Gibraltar acknowledges competitive dynamics in building products and has responded strategically — the OmniMax acquisition directly addresses the need for greater Residential scale to compete with larger peers [1]. Management focuses on building capabilities through acquisitions and operational excellence rather than destroying competitors. The niche focus on specialized products reflects a learn-and-improve orientation rather than market-share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Gibraltar has demonstrated meaningful strategic adaptation — divesting Renewables to refocus on Residential, Agtech, and Infrastructure, followed by the transformational OmniMax acquisition that nearly doubled Residential revenue to $425.9M quarterly [1]. These moves represent deliberate portfolio transformation under CEO Bosway's 80/20 strategy. However, the core competency (manufacturing building products) remains unchanged — these are adjacent-market extensions and portfolio optimization rather than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Bosway demonstrated courage by divesting the Renewables segment despite its revenue contribution, accepting near-term GAAP losses to refocus on higher-margin businesses [1]. The $570M+ OmniMax acquisition significantly increased leverage (D/E now 153.7%) but Q2 2026 results validated the bet with Residential delivering $425.9M (+84.9%) at 19.0% adjusted EBITDA margins. However, the stock's 51% decline from ~$75 to $37.10 suggests the market questions whether the increased leverage is justified by the strategic vision, and the decisions were financially rational portfolio optimization rather than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Gibraltar Industries at $37.10 is a post-acquisition value play trading at 7.71x forward adjusted earnings with record operational momentum — Q2 2026 net sales of $509.5M (+64.6% YoY), adjusted EBITDA of $88M (+59.7%), and Residential segment margins of 19.0% validate the OmniMax integration thesis [1]. FY2026 guidance of $1.76-$1.83B revenue and $3.65-$4.05 adjusted EPS was reaffirmed, implying the stock trades at 9.6x the $3.85 midpoint — deep value for a building products company with structural tailwinds from housing repair/remodel, solar racking demand, and infrastructure spending [1][4]. All three segments manufacture physical products structurally immune to AI disruption, and the Inspire Impact Score of 60 (ALIGNED) with 15 positive attributions and zero negatives reflects strong ESG practices including 14% Scope 1+2 emissions reduction since 2020 [3]. Organic growth of 12.7% in legacy Residential and 8.7% in Agtech demonstrates underlying business health beyond acquisition effects.</w:t>
      </w:r>
    </w:p>
    <w:p>
      <w:pPr>
        <w:spacing w:after="120"/>
      </w:pPr>
      <w:r>
        <w:rPr>
          <w:rFonts w:ascii="Calibri" w:hAnsi="Calibri"/>
          <w:b w:val="0"/>
          <w:color w:val="3A4A28"/>
          <w:sz w:val="20"/>
        </w:rPr>
        <w:t>The bear case centers on integration risk, elevated leverage, and cultural concerns. D/E of 153.7% with ~$1.2B total debt generates ~$21M in quarterly interest expense, and the stock's 51% decline from ~$75 to $37.10 reflects market skepticism about the OmniMax bet — any integration stumble or housing downturn could severely pressure the leveraged balance sheet [1][4]. GAAP profit margin remains negative at -10.4% on a TTM basis due to Renewables discontinuation charges, creating a wide gap between adjusted EPS ($1.11 Q2) and GAAP EPS ($0.92). ROE of 6.24% is well below the 15% target, depressed by acquisition costs and one-time charges. The 5-year revenue CAGR of -6.5% reflects portfolio disruption from divestitures. Glassdoor data showing 23% CEO approval and 50% recommendation rate raises organizational culture concerns during a period of significant integration [2]. Housing market cyclicality concentrates risk in the now-dominant Residential segment (84% of Q2 revenue), and organic growth excluding OmniMax is guided at only ~5%. Earnings growth of -68.6% YoY underscores that the acquisition has diluted near-term profitability despite the top-line transformation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OmniMax integration delivering ahead of expectations — Residential segment produced record $425.9M Q2 revenue (+84.9%) with 19.0% adjusted EBITDA margins, organic legacy growth of 12.7%, and management reaffirming full-year $1.76-$1.83B revenue guidance [1]</w:t>
      </w:r>
    </w:p>
    <w:p>
      <w:pPr>
        <w:spacing w:before="40" w:after="40"/>
        <w:ind w:left="283"/>
      </w:pPr>
      <w:r>
        <w:rPr>
          <w:rFonts w:ascii="Calibri" w:hAnsi="Calibri"/>
          <w:b/>
          <w:color w:val="4A6B25"/>
          <w:sz w:val="20"/>
        </w:rPr>
        <w:t xml:space="preserve">2. </w:t>
      </w:r>
      <w:r>
        <w:rPr>
          <w:rFonts w:ascii="Calibri" w:hAnsi="Calibri"/>
          <w:b w:val="0"/>
          <w:color w:val="3A4A28"/>
          <w:sz w:val="20"/>
        </w:rPr>
        <w:t>Deep value at 7.71x forward adjusted earnings ($37.10 vs. $3.85 midpoint EPS guidance) with significant upside if deleveraging progresses and the market reprices integration success — D/E declining from 153.7% as cash flow pays down acquisition debt [4]</w:t>
      </w:r>
    </w:p>
    <w:p>
      <w:pPr>
        <w:spacing w:before="40" w:after="40"/>
        <w:ind w:left="283"/>
      </w:pPr>
      <w:r>
        <w:rPr>
          <w:rFonts w:ascii="Calibri" w:hAnsi="Calibri"/>
          <w:b/>
          <w:color w:val="4A6B25"/>
          <w:sz w:val="20"/>
        </w:rPr>
        <w:t xml:space="preserve">3. </w:t>
      </w:r>
      <w:r>
        <w:rPr>
          <w:rFonts w:ascii="Calibri" w:hAnsi="Calibri"/>
          <w:b w:val="0"/>
          <w:color w:val="3A4A28"/>
          <w:sz w:val="20"/>
        </w:rPr>
        <w:t>Structural AI immunity across all three segments (physical building products, greenhouse structures, bridge infrastructure) provides defensive positioning as AI disruption reshapes other industries, with Agtech benefiting from sustainability and food security tailwinds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with D/E of 153.7% and ~$1.2B total debt generating $21M quarterly interest expense creates acute balance sheet risk — any housing downturn, integration shortfall, or synergy miss could pressure debt service and force dilutive capital raises [1][4]</w:t>
      </w:r>
    </w:p>
    <w:p>
      <w:pPr>
        <w:spacing w:before="40" w:after="40"/>
        <w:ind w:left="283"/>
      </w:pPr>
      <w:r>
        <w:rPr>
          <w:rFonts w:ascii="Calibri" w:hAnsi="Calibri"/>
          <w:b/>
          <w:color w:val="4A6B25"/>
          <w:sz w:val="20"/>
        </w:rPr>
        <w:t xml:space="preserve">2. </w:t>
      </w:r>
      <w:r>
        <w:rPr>
          <w:rFonts w:ascii="Calibri" w:hAnsi="Calibri"/>
          <w:b w:val="0"/>
          <w:color w:val="3A4A28"/>
          <w:sz w:val="20"/>
        </w:rPr>
        <w:t>GAAP profit margin of -10.4% and earnings growth of -68.6% YoY reveal the near-term profitability cost of the OmniMax acquisition — the wide gap between adjusted ($1.11) and GAAP ($0.92) Q2 EPS suggests ongoing non-recurring costs that investors may discount further [1]</w:t>
      </w:r>
    </w:p>
    <w:p>
      <w:pPr>
        <w:spacing w:before="40" w:after="40"/>
        <w:ind w:left="283"/>
      </w:pPr>
      <w:r>
        <w:rPr>
          <w:rFonts w:ascii="Calibri" w:hAnsi="Calibri"/>
          <w:b/>
          <w:color w:val="4A6B25"/>
          <w:sz w:val="20"/>
        </w:rPr>
        <w:t xml:space="preserve">3. </w:t>
      </w:r>
      <w:r>
        <w:rPr>
          <w:rFonts w:ascii="Calibri" w:hAnsi="Calibri"/>
          <w:b w:val="0"/>
          <w:color w:val="3A4A28"/>
          <w:sz w:val="20"/>
        </w:rPr>
        <w:t>Glassdoor data showing 23% CEO approval and 50% recommendation rate signals potential cultural deterioration during the integration period, and housing market cyclicality concentrates risk in the Residential segment (84% of Q2 revenue) — organic growth excluding OmniMax is only ~5%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Gibraltar Industries manufactures physical building products — roof ventilation systems, metal roofing, mail/package boxes, greenhouse structures, bridge expansion joints, and structural bearings — requiring physical-world manufacturing, installation, and maintenance that AI cannot substitute [1]. The construction and building products industry has among the lowest AI disruption risk — AI cannot replace a roof vent, bridge bearing, or greenhouse structure. No analysts have flagged AI as a meaningful risk to Gibraltar's business model. AI may modestly improve design efficiency and manufacturing automation, but the core physical product delivery is structurally immune to software displacement. The Agtech segment's controlled environment agriculture solutions may benefit from AI-enhanced growing systems, increasing demand rather than substituting supply. AI Opportunity (0/1): Gibraltar does not generate quantifiable AI product revenue. Digital transformation under CDIO Christopher Lok focuses on e-business capabilities and IT modernization rather than AI-powered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Gibraltar Industries Q2 2026 Earnings Release — Record Net Sales $509.5M (+64.6%), Adjusted EBITDA $88M (+59.7%), Adjusted EPS $1.11, Residential $425.9M (+84.9%), 2026 Guidance $1.76-$1.83B Revenue, $3.65-$4.05 Adj EPS — SEC 8-K/Yahoo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Gibraltar Industries Leadership and Culture — CEO Bill Bosway (since 2019, Chairman since 2022), CDIO Christopher Lok, Glassdoor 3.4/5 with 23% CEO Approval and 50% Recommendation — company website/Glassdoor,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Gibraltar Industries ESG and Sustainability — 14% Scope 1+2 Emissions Reduction Since 2020, TCFD Disclosure, 50% Board Diversity, External GHG Assurance, 25,000 Hours Employee Training, Inspire Impact Score 60 — CSR Reports/Inspire Insight,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ROCK Key Statistics: Stock Price $37.10, Forward P/E 7.71, D/E 153.7%, ROE 6.24%, Profit Margin -10.4%, Avg Volume 332K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