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ROK</w:t>
      </w:r>
      <w:r>
        <w:rPr>
          <w:rFonts w:ascii="Calibri" w:hAnsi="Calibri"/>
          <w:b/>
          <w:color w:val="1A2010"/>
          <w:sz w:val="40"/>
        </w:rPr>
        <w:t xml:space="preserve">  Rockwell Automation, Inc.</w:t>
      </w:r>
    </w:p>
    <w:p>
      <w:pPr>
        <w:spacing w:after="120"/>
      </w:pPr>
      <w:r>
        <w:rPr>
          <w:rFonts w:ascii="Calibri" w:hAnsi="Calibri"/>
          <w:b/>
          <w:color w:val="6E8450"/>
          <w:sz w:val="18"/>
        </w:rPr>
        <w:t>GROWTH SLEEVE · 2026-10-02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NYQ · United States</w:t>
      </w:r>
    </w:p>
    <w:p>
      <w:pPr>
        <w:spacing w:after="80"/>
      </w:pPr>
      <w:r>
        <w:rPr>
          <w:rFonts w:ascii="Calibri" w:hAnsi="Calibri"/>
          <w:b w:val="0"/>
          <w:color w:val="3A4A28"/>
          <w:sz w:val="20"/>
        </w:rPr>
        <w:t>Rockwell Automation is the world's largest company dedicated to industrial automation and digital transformation, operating through three segments: Intelligent Devices (drives, motion, safety, sensing), Software &amp; Control (control/visualization, digital twin, simulation, cybersecurity), and Lifecycle Services (consulting, engineering, managed services). The company serves discrete (automotive, semiconductor, e-commerce), hybrid (food &amp; beverage, life sciences), and process (energy, mining, chemicals) end markets globally. Founded in 1903 and headquartered in Milwaukee, Wisconsin, Rockwell reported Q3 FY2026 revenue of $2.31B (+7.9% YoY) with 10% organic sales growth and FY2026 guidance of 7.5-9.5% organic growth with adjusted EPS midpoint of $13.15.</w:t>
      </w:r>
    </w:p>
    <w:p>
      <w:r>
        <w:rPr>
          <w:rFonts w:ascii="Calibri" w:hAnsi="Calibri"/>
          <w:b/>
          <w:color w:val="6E8450"/>
          <w:sz w:val="18"/>
        </w:rPr>
        <w:t>26,000 Employees · https://www.rockwellautomation.com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Rockwell has successfully expanded from a pure-play hardware automation company into a comprehensive digital transformation platform through strategic acquisitions — Plex (cloud manufacturing ERP), Fiix (asset management), Kalypso (digital consulting) — driving Software &amp; Control revenue growth of 20% in Q2 FY2026 to $684M [1][2]. The company's 123-year history includes the transformative spin-off from Rockwell International to become the world's largest pure-play industrial automation company. AI Deployment (1/2): ROKStudios autonomy push integrates AI-powered capabilities into industrial automation, and Rockwell's Chief Technology Officer Cyril Perducat joined the WEF AI Governance Alliance to shape industrial AI standards [3]. AI is embedded in predictive maintenance, quality inspection, and cybersecurity products shipping to manufacturing customers, with 61% of cybersecurity professionals surveyed by Rockwell planning AI adoption. However, specific AI-attributed revenue is not quantified. Market Share (2/2): Rockwell is the undisputed global leader in discrete and hybrid industrial automation — the world's largest company dedicated solely to industrial automation and digital transformation, with $8.97B TTM revenue, dominant positions in programmable logic controllers and motion control, and a massive installed base across automotive, semiconductor, food &amp; beverage, and life sciences verticals [1][5]. Product Pipeline (1/2): ROKStudios autonomy platform, expanded digital twin and simulation capabilities, and AI-powered industrial software represent meaningful pipeline investments, but specific next-gen product launches with named revenue targets and dates remain limited beyond broad 'autonomous manufacturing' vision [3]. R&amp;D Intensity (1/1): Rockwell invests heavily in R&amp;D as the automation industry leader, funding both organic software development and strategic technology acquisitions, with gross margins of 49.1% supporting continued investment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Rockwell's purpose — 'Expanding human possibility' through making the world more productive and sustainable via industrial automation — is specific, thoughtful, and genuinely connects technology to broader societal impact including sustainability, workforce safety, and manufacturing resilience [3][4]. The mission has been validated by 123 years of consistent execution dedicated to industrial automation, surviving the Great Depression, World Wars, and multiple industrial revolutions. It differentiates from peers who treat automation as one business among many. Community Impact (1/2): Rockwell operates three sustainability pillars — Sustainable Customers, Sustainable Company, and Sustainable Communities — with published annual sustainability reports detailing environmental footprint reduction, Scope 1/2/3 emissions tracking, and community engagement [4]. The commitment is structured and documented but lacks distinctive, quantifiable community investment programs. Employee Retention (1/2): CEO Blake Moret's 10-year tenure provides stable leadership, with 72% Glassdoor recommendation rate and 73% CEO approval reflecting above-average organizational health for a 26,000-employee industrial company [3]. However, employee reviews cite senior leadership and management as key cons, suggesting organizational trust varies by level and business unit. Insider Buying (0/2): No evidence of meaningful net insider buying by CEO Moret or senior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1.25% &lt; 2% threshold). ROE of 30.6% significantly exceeds the 15% target (score 1.0, 2x weight), reflecting strong capital efficiency and the asset-light automation platform model [5]. Revenue growth of 7.9% YoY is near the 10% target (score 0.93), with Q3 FY2026 organic growth accelerating to 10% and Software &amp; Control surging 20% [1][2]. The 5-year revenue CAGR of approximately 4% (score 0.60, 2x weight) reflects the FY2024-2025 cyclical downturn after the FY2023 peak of $9.06B. D/E of 103.3% is moderately above the 70% target (score 0.86), with $3.6B debt partially offset by $479M cash and $1.3B annual free cash flow. Forward P/E of 29.67 represents a premium industrial valuation (score 0.76), and PEG of 1.92 is above the 1.0 target but well below the 3.0 floor (score 0.54, 2x weight). Profit margin of 13.4% is below the 20% target (score 0.67). Daily dollar volume of $332M provides exceptional liquidity. Weighted sum: (1x0.86)+(2x1.0)+(1x0.93)+(2x0.60)+(1x0.76)+(1x0.67)+(2x0.54) = 7.50/10 =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Rockwell Automation's 123-year dedication to industrial automation represents one of the longest-running corporate commitments to a single industry, validated by survival through the Great Depression, World Wars, and multiple industrial revolutions. The spin-off from Rockwell International to become a pure-play automation company was a genuine strategic commitment to specialization. However, the company's recent strategic language increasingly centers on financial metrics — organic growth rates, margin expansion, adjusted EPS — rather than the transformative vision of autonomous, sustainable manufacturing that would characterize a truly infinite-minded industrial company.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Rockwell's dedication to 'expanding human possibility' through industrial automation has been validated by 123 years of consistent execution — the company has remained focused on industrial automation through multiple eras, crises, and leadership transitions, eventually spinning off from Rockwell International to become the world's largest pure-play automation company [3][4]. The cause connects automation technology to worker safety, manufacturing sustainability, and industrial productivity in a genuinely purposeful way. However, the founding cause predates the modern company's strategic identity, and recent strategic decisions appear driven more by financial optimization than by advancing a vision of autonomous, sustainable manufacturing.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Moret's 10-year tenure and 73% Glassdoor CEO approval provide stable leadership, and the company's culture page emphasizes integrity as foundational to how they 'work, lead, and succeed together' [3]. Glassdoor's 72% recommendation rate and 3.8/5 culture rating are above average for a 26,000-employee industrial company. However, employee reviews consistently cite senior leadership and management as key negatives, suggesting trust may be stronger at the peer level than in the hierarchical relationship, which is a tension Sinek would flag.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Rockwell's leadership publicly acknowledging Siemens, ABB, or Emerson as worthy rivals whose strengths push Rockwell to improve [1][3]. The company's competitive positioning emphasizes its unique status as the world's largest pure-play industrial automation company, which frames competition as a category to dominate rather than peers to learn from.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Rockwell evolved from the broader Rockwell International conglomerate (defense, electronics, automotive) to a pure-play industrial automation company through strategic divestitures, and has more recently expanded from hardware-centric automation into digital transformation through software acquisitions (Plex, Fiix, Kalypso) and the ROKStudios autonomy platform [1][3]. The software pivot is meaningful but incremental — the core automation hardware business remains central, and no legacy business line has been cannibalized.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Rockwell invested heavily in digital transformation and software capabilities through Plex, Fiix, and Kalypso acquisitions during a period when the industrial automation cycle was turning down, demonstrating willingness to invest through cyclical weakness [1][2]. The decision to maintain and increase dividend payments through the FY2024-2025 downturn ($1.31 to $1.38/quarter) while sustaining R&amp;D investment reflects confidence in long-term positioning. However, these decisions align with standard cyclical industrial management rather than transformative bets that sacrifice near-term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Rockwell Automation at $442.45 with a $49.2B market cap is the global leader in industrial automation entering a cyclical recovery, with Q3 FY2026 organic sales growth accelerating to 10%, Software &amp; Control revenue surging 20% to $684M, and FY2026 guidance raised to 7.5-9.5% organic growth with adjusted EPS of $13.15 (+25% YoY) [1][2]. The 123-year-old franchise benefits from structural tailwinds — reshoring of manufacturing, labor scarcity driving automation adoption, and the autonomous factory transition — with ROE of 30.6% and $1.3B in annual free cash flow demonstrating capital efficiency [5]. The software transformation is working: Software &amp; Control is the fastest-growing segment, and ROKStudios' autonomy platform positions Rockwell at the intersection of industrial AI and physical automation where AI increases demand for the company's integrated hardware-software stack [3].</w:t>
      </w:r>
    </w:p>
    <w:p>
      <w:pPr>
        <w:spacing w:after="120"/>
      </w:pPr>
      <w:r>
        <w:rPr>
          <w:rFonts w:ascii="Calibri" w:hAnsi="Calibri"/>
          <w:b w:val="0"/>
          <w:color w:val="3A4A28"/>
          <w:sz w:val="20"/>
        </w:rPr>
        <w:t>The bear case centers on premium valuation, cyclical vulnerability, and AI disruption risk. At 29.67x forward earnings and PEG of 1.92, Rockwell trades at a significant premium to industrial peers, pricing in sustained cyclical recovery and margin expansion that may not materialize if manufacturing capex disappoints [5]. The 5-year revenue CAGR of approximately 4% reveals that Rockwell's growth has been lumpy — FY2023 peaked at $9.06B before declining in FY2024-2025 — and the current recovery could stall if tariff uncertainty or recession risk dampens industrial spending. Jefferies downgraded to Hold citing AI-driven disruption as a cap on multiple expansion, specifically noting that new AI-enabled competitors could offer simpler automation solutions bypassing Rockwell's proprietary ecosystem [3]. D/E of 103.3% with $3.6B in debt creates leverage risk during cyclical downturns, and GAAP profit margins of 13.4% lag software-like profitability despite the digital transformation narrative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Cyclical recovery accelerating with Q3 FY2026 organic sales growth of 10% and FY2026 guidance raised 150bps, driven by reshoring of manufacturing, labor scarcity, and semiconductor capital spending recovery across Rockwell's key discrete and hybrid end markets [1][2]</w:t>
      </w:r>
    </w:p>
    <w:p>
      <w:pPr>
        <w:spacing w:before="40" w:after="40"/>
        <w:ind w:left="283"/>
      </w:pPr>
      <w:r>
        <w:rPr>
          <w:rFonts w:ascii="Calibri" w:hAnsi="Calibri"/>
          <w:b/>
          <w:color w:val="4A6B25"/>
          <w:sz w:val="20"/>
        </w:rPr>
        <w:t xml:space="preserve">2. </w:t>
      </w:r>
      <w:r>
        <w:rPr>
          <w:rFonts w:ascii="Calibri" w:hAnsi="Calibri"/>
          <w:b w:val="0"/>
          <w:color w:val="3A4A28"/>
          <w:sz w:val="20"/>
        </w:rPr>
        <w:t>Software &amp; Control segment growing 20% in Q2 FY2026 ($684M) validates the digital transformation strategy, with ROKStudios autonomy platform and AI-powered industrial software creating recurring revenue streams with higher margins than traditional hardware [1][3]</w:t>
      </w:r>
    </w:p>
    <w:p>
      <w:pPr>
        <w:spacing w:before="40" w:after="40"/>
        <w:ind w:left="283"/>
      </w:pPr>
      <w:r>
        <w:rPr>
          <w:rFonts w:ascii="Calibri" w:hAnsi="Calibri"/>
          <w:b/>
          <w:color w:val="4A6B25"/>
          <w:sz w:val="20"/>
        </w:rPr>
        <w:t xml:space="preserve">3. </w:t>
      </w:r>
      <w:r>
        <w:rPr>
          <w:rFonts w:ascii="Calibri" w:hAnsi="Calibri"/>
          <w:b w:val="0"/>
          <w:color w:val="3A4A28"/>
          <w:sz w:val="20"/>
        </w:rPr>
        <w:t>Structural automation demand from labor scarcity, near-shoring mandates, and the autonomous factory transition create secular growth tailwinds that extend beyond the current cyclical recovery, with $1.3B annual free cash flow funding continued organic and acquisitive investment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29.67x forward earnings and PEG of 1.92 leaves limited margin of safety — any deceleration in the cyclical recovery or manufacturing capex disappointment could trigger meaningful multiple compression from the $49.2B market cap [5]</w:t>
      </w:r>
    </w:p>
    <w:p>
      <w:pPr>
        <w:spacing w:before="40" w:after="40"/>
        <w:ind w:left="283"/>
      </w:pPr>
      <w:r>
        <w:rPr>
          <w:rFonts w:ascii="Calibri" w:hAnsi="Calibri"/>
          <w:b/>
          <w:color w:val="4A6B25"/>
          <w:sz w:val="20"/>
        </w:rPr>
        <w:t xml:space="preserve">2. </w:t>
      </w:r>
      <w:r>
        <w:rPr>
          <w:rFonts w:ascii="Calibri" w:hAnsi="Calibri"/>
          <w:b w:val="0"/>
          <w:color w:val="3A4A28"/>
          <w:sz w:val="20"/>
        </w:rPr>
        <w:t>AI disruption risk flagged by Jefferies — new AI-enabled competitors could offer simpler, more accessible automation solutions that bypass Rockwell's complex proprietary ecosystem, and the company's 5-year revenue CAGR of only 4% suggests the growth profile may not justify the premium multiple [3][5]</w:t>
      </w:r>
    </w:p>
    <w:p>
      <w:pPr>
        <w:spacing w:before="40" w:after="40"/>
        <w:ind w:left="283"/>
      </w:pPr>
      <w:r>
        <w:rPr>
          <w:rFonts w:ascii="Calibri" w:hAnsi="Calibri"/>
          <w:b/>
          <w:color w:val="4A6B25"/>
          <w:sz w:val="20"/>
        </w:rPr>
        <w:t xml:space="preserve">3. </w:t>
      </w:r>
      <w:r>
        <w:rPr>
          <w:rFonts w:ascii="Calibri" w:hAnsi="Calibri"/>
          <w:b w:val="0"/>
          <w:color w:val="3A4A28"/>
          <w:sz w:val="20"/>
        </w:rPr>
        <w:t>Cyclical exposure remains pronounced despite software diversification — revenue declined from $9.06B (FY2023) to $8.26B (FY2024) during the last industrial downturn, and D/E of 103.3% amplifies balance sheet risk during cyclical troughs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Rockwell's core industrial automation hardware — PLCs, drives, motion controllers, safety systems, and sensing products — is physically essential infrastructure that AI cannot substitute; factories require physical automation equipment regardless of AI advances, and AI actually increases demand for industrial automation as manufacturers pursue autonomous operations [1][3]. The deeply integrated software-hardware stack creates enormous switching costs — changing an automation platform requires physical rewiring, PLC reprogramming, and revalidation of safety-critical systems. Rockwell assured investors that its software, deeply integrated with industrial hardware, benefits from AI rather than being disrupted by it [3]. However, Jefferies downgraded Rockwell to Hold citing AI-driven disruption as a cap on multiple expansion, specifically noting that new AI-enabled competitors could offer simpler, more accessible automation solutions that bypass Rockwell's complex proprietary ecosystem. AI Opportunity (1/1): ROKStudios autonomy platform, AI-powered predictive maintenance, quality inspection, and cybersecurity products generate AI-attributed value for manufacturing customers, with 20% growth in Software &amp; Control ($684M Q2 FY2026) partly reflecting AI-enhanced software demand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Rockwell Automation Q2 FY2026 Earnings — Revenue $2.24B (+11.9% YoY), Software &amp; Control $684M (+20%), Organic Sales +9%, EPS $3.10, rockwellautomation.com/SEC Filing, April 2026</w:t>
      </w:r>
    </w:p>
    <w:p>
      <w:pPr>
        <w:spacing w:before="20" w:after="20"/>
        <w:ind w:left="170"/>
      </w:pPr>
      <w:r>
        <w:rPr>
          <w:rFonts w:ascii="Calibri" w:hAnsi="Calibri"/>
          <w:b/>
          <w:color w:val="4A6B25"/>
          <w:sz w:val="15"/>
        </w:rPr>
        <w:t xml:space="preserve">2. </w:t>
      </w:r>
      <w:r>
        <w:rPr>
          <w:rFonts w:ascii="Calibri" w:hAnsi="Calibri"/>
          <w:b w:val="0"/>
          <w:color w:val="3A4A28"/>
          <w:sz w:val="17"/>
        </w:rPr>
        <w:t>Rockwell Automation Q3 FY2026 Earnings — Revenue $2.31B (+7.9% YoY), Organic Growth 10%, EPS $3.49, FY2026 Guidance Raised to 7.5-9.5%, VectorShift/Investing.com, July 2026</w:t>
      </w:r>
    </w:p>
    <w:p>
      <w:pPr>
        <w:spacing w:before="20" w:after="20"/>
        <w:ind w:left="170"/>
      </w:pPr>
      <w:r>
        <w:rPr>
          <w:rFonts w:ascii="Calibri" w:hAnsi="Calibri"/>
          <w:b/>
          <w:color w:val="4A6B25"/>
          <w:sz w:val="15"/>
        </w:rPr>
        <w:t xml:space="preserve">3. </w:t>
      </w:r>
      <w:r>
        <w:rPr>
          <w:rFonts w:ascii="Calibri" w:hAnsi="Calibri"/>
          <w:b w:val="0"/>
          <w:color w:val="3A4A28"/>
          <w:sz w:val="17"/>
        </w:rPr>
        <w:t>Rockwell Automation AI Strategy, ROKStudios, CEO Blake Moret, Glassdoor — WEF AI Governance Alliance, AI Cybersecurity, 72% Recommend, Jefferies Downgrade, IndustryWeek/Glassdoor/Simply Wall St, 2025-2026</w:t>
      </w:r>
    </w:p>
    <w:p>
      <w:pPr>
        <w:spacing w:before="20" w:after="20"/>
        <w:ind w:left="170"/>
      </w:pPr>
      <w:r>
        <w:rPr>
          <w:rFonts w:ascii="Calibri" w:hAnsi="Calibri"/>
          <w:b/>
          <w:color w:val="4A6B25"/>
          <w:sz w:val="15"/>
        </w:rPr>
        <w:t xml:space="preserve">4. </w:t>
      </w:r>
      <w:r>
        <w:rPr>
          <w:rFonts w:ascii="Calibri" w:hAnsi="Calibri"/>
          <w:b w:val="0"/>
          <w:color w:val="3A4A28"/>
          <w:sz w:val="17"/>
        </w:rPr>
        <w:t>Rockwell Automation Sustainability Report 2025 — Three Pillar Framework, ESG Governance, Emissions Tracking, rockwellautomation.com,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ROK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