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ROLR</w:t>
      </w:r>
      <w:r>
        <w:rPr>
          <w:rFonts w:ascii="Calibri" w:hAnsi="Calibri"/>
          <w:b/>
          <w:color w:val="1A2010"/>
          <w:sz w:val="40"/>
        </w:rPr>
        <w:t xml:space="preserve">  High Roller Technologies, Inc.</w:t>
      </w:r>
    </w:p>
    <w:p>
      <w:pPr>
        <w:spacing w:after="120"/>
      </w:pPr>
      <w:r>
        <w:rPr>
          <w:rFonts w:ascii="Calibri" w:hAnsi="Calibri"/>
          <w:b/>
          <w:color w:val="6E8450"/>
          <w:sz w:val="18"/>
        </w:rPr>
        <w:t>GROWTH SLEEVE · 2026-09-08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Casinos &amp; Gaming · NYSE American · United States</w:t>
      </w:r>
    </w:p>
    <w:p>
      <w:pPr>
        <w:spacing w:after="80"/>
      </w:pPr>
      <w:r>
        <w:rPr>
          <w:rFonts w:ascii="Calibri" w:hAnsi="Calibri"/>
          <w:b w:val="0"/>
          <w:color w:val="3A4A28"/>
          <w:sz w:val="20"/>
        </w:rPr>
        <w:t>High Roller Technologies, Inc. is a micro-cap online gaming and prediction markets operator headquartered in Las Vegas, Nevada. Founded in 2021, the company operates premium real-money online casino brands HighRoller.com and Fruta.com, offering over 6,000 games from 90+ providers across multiple international jurisdictions. Under CEO Seth Young (appointed August 2025), the company is executing a strategic pivot from traditional iGaming toward U.S. prediction markets in partnership with Crypto.com, while exiting certain international markets. FY2025 revenue was $20.45M (-11.9% YoY), with Q2 2026 revenue declining 52% YoY to $2.81M as the market exits accelerate. Market cap approximately $68M.</w:t>
      </w:r>
    </w:p>
    <w:p>
      <w:r>
        <w:rPr>
          <w:rFonts w:ascii="Calibri" w:hAnsi="Calibri"/>
          <w:b/>
          <w:color w:val="6E8450"/>
          <w:sz w:val="18"/>
        </w:rPr>
        <w:t>75 Employees · https://ir.highroller.com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High Roller is executing a significant strategic pivot from traditional iGaming to U.S. prediction markets, partnering with Crypto.com for the planned launch [3]. However, this pivot has not yet generated meaningful revenue and is driven partly by necessity as iGaming revenues declined 11.9% in FY2025 and 52% in Q2 2026 due to market exits [1][2]. The business model transformation is in progress but unproven. AI Deployment (1/2): The company appointed Nicholis Muller as Head of Applied AI and is investing in AI for compliance automation, product personalization, customer engagement, and internal development workflows [3]. CEO Seth Young has emphasized AI as critical for 'understanding consumer behavior and automating workflows' at scale. However, no AI-powered products are shipping to customers and no quantified savings have been reported. Market Share (0/2): High Roller is a micro-cap player ($68M market cap) competing against DraftKings ($30B+), Flutter/FanDuel ($35B+), and established European iGaming operators with revenues orders of magnitude larger [4]. The company holds negligible market share in any geography. Product Pipeline (1/2): The U.S. prediction markets platform with Crypto.com as a named partner provides specific product visibility, and the company is pursuing regulatory approvals in target states [3]. However, timelines remain vague and revenue projections have not been disclosed. R&amp;D Intensity (0/1): No disclosed R&amp;D spending data; as a 75-person company with $20M in revenue and operating losses, R&amp;D investment is likely minimal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High Roller Technologies describes itself as 'a leading global online gaming operator known for its innovative casino brands' — a functional industry description rather than a purpose statement [5]. No distinctive mission, vision, or Just Cause articulated beyond operating online gambling platforms profitably. Interchangeable with any iGaming company. Community Impact (1/2): The company signed a non-binding Letter of Intent with Kindbridge Behavioral Health to enhance responsible gambling practices in Ontario, demonstrating awareness of social responsibility in gambling [5]. This is modest but specific — a concrete step beyond standard compliance. Employee Retention (0/2): No employee retention or tenure data available for this small, recently founded company. Frequent leadership changes (new CEO August 2025, new COO, Head of AI, CMO, and Director of Marketing all appointed in 2025-2026) suggest organizational instability rather than retention strength [3]. Insider Buying (0/2): No evidence of meaningful insider buying. The company completed a $25M registered direct offering in 2026, which represents capital raising and shareholder dilution rather than insider conviction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PEG, and 5yr revenue CAGR unavailable, excluded). The balance sheet is clean with D/E of just 3% and $18M cash against $0.8M debt [2][4]. ROE of 8.45% scores 0.56 vs the 15% target, reflecting modest profitability from a young company still building scale. Revenue growth YoY of -11.9% in FY2025 scores 0.27, with the trajectory deteriorating sharply — Q2 2026 revenue declined 52% YoY as the company exits international iGaming markets to pivot toward prediction markets [1][2]. Reported net profit margin of 15.4% is materially distorted by a $2.47M gain from discontinued operations; excluding this one-time item, the operating margin was -30.2% [1]. The GAAP figure inflates this metric. CAUTION: Daily dollar volume of approximately $1.0M ($6.67 stock price x ~150K average daily volume) sits right at the $1M liquidity floor threshold — any decline in volume or price could trigger the floor [4]. Three of four heavily weighted growth metrics (Forward P/E, PEG, 5yr revenue CAGR) are unavailable, so the score is calculated on a narrow metric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High Roller Technologies is a young, financially stressed company playing a distinctly finite game — pivoting from declining iGaming revenue to prediction markets in a bet for survival and growth. Founded only in 2021, the company has not had time to develop a Just Cause, build a high-trust organizational culture, or demonstrate the kind of through-cycle consistency that defines infinite game players. Leadership turnover is high, the business model is in flux, and strategic decisions appear driven by market opportunity and financial necessity rather than a durable purpose. The Crypto.com partnership shows some courage, but the overall posture is that of a startup seeking product-market fit, not a company built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High Roller Technologies exists to operate online gambling platforms and, more recently, prediction markets for profit. No mission, vision, or purpose statement articulates a future state beyond growing revenue and market presence [5]. The company's strategic communications focus exclusively on market entry, partnerships, revenue, and platform features — purely finite metrics. There is no evidence that leadership has articulated why this company should exist beyond capturing share in the online gaming and prediction markets space.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has undergone extensive leadership turnover since its 2021 founding — new CEO (August 2025), new COO, Head of Applied AI, CMO, and Director of Marketing all appointed in 2025-2026 [3]. This level of executive churn in a ~75-person organization signals organizational instability rather than a high-trust environment. No employee sentiment data, retention metrics, or cultural evidence is available. For a company this young and small, with a workforce likely concentrated in technology and operations roles, the rapid leadership changes are a concern.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High Roller's competitive positioning focuses on market entry (prediction markets with Crypto.com) and geographic expansion rather than learning from larger, more established competitors like DraftKings, Flutter, or established prediction market operators [3]. No management commentary acknowledges competitors' strengths or frames competition as motivation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traditional iGaming (HighRoller.com, Fruta.com) to U.S. prediction markets represents a meaningful strategic shift — the company is voluntarily exiting profitable international markets and redirecting resources toward an entirely different product category [2]. Partnering with Crypto.com for the prediction markets launch adds credibility. However, this pivot appears driven by declining iGaming revenue (-52% Q2 2026 YoY) and market necessity rather than a Just Cause, and the outcome is highly uncertain. The changes are significant but may reflect desperation more than strategic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Seth Young's decision to exit declining international iGaming markets and bet the company's future on U.S. prediction markets — raising $25M in dilutive capital to fund the pivot — shows willingness to sacrifice near-term revenue for long-term repositioning [2][5]. Appointing a Head of Applied AI and investing in AI capabilities while the company is operating at a loss demonstrates some willingness to invest in future capability. However, these decisions may reflect necessity (declining core business) more than courageous long-term thinking, and the frequent leadership changes suggest strategy is still being formed rather than executed with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High Roller Technologies offers speculative upside through its pivot to U.S. prediction markets with Crypto.com as a high-profile partner, backed by a clean balance sheet ($18M cash, D/E 3%) and manageable near-term cash burn [2][3]. The appointment of a Head of Applied AI and investment in compliance automation position the company for the regulatory complexity of state-by-state prediction markets launches. At $68M market cap, any success in capturing meaningful prediction markets share could generate outsized returns. The company's existing iGaming infrastructure and regulatory experience across multiple jurisdictions provide a foundation for the prediction markets buildout. FY2025 EPS of $0.37 (including discontinued operations) demonstrates the company has generated profit, even if the path to repeating that is uncertain [1].</w:t>
      </w:r>
    </w:p>
    <w:p>
      <w:pPr>
        <w:spacing w:after="120"/>
      </w:pPr>
      <w:r>
        <w:rPr>
          <w:rFonts w:ascii="Calibri" w:hAnsi="Calibri"/>
          <w:b w:val="0"/>
          <w:color w:val="3A4A28"/>
          <w:sz w:val="20"/>
        </w:rPr>
        <w:t>The bear case is severe: High Roller is a micro-cap ($68M) company with rapidly declining revenue (-52% Q2 2026 YoY), widening operating losses (-$2.5M Q2 operating loss), and a business model in flux [2]. The FY2025 net income of $3.16M was entirely dependent on a $2.47M gain from discontinued operations — the continuing business lost $6.2M at the operating level [1]. The prediction markets pivot is unproven, entering a space dominated by well-capitalized competitors (Kalshi, Polymarket, and potentially DraftKings/FanDuel). The $25M direct offering dilutes existing shareholders while funding an uncertain strategic bet [5]. Liquidity is critically thin — daily dollar volume sits at approximately $1M, right at the IOWN liquidity floor, meaning any sustained volume decline could render the stock uninvestable [4]. The trailing PE of 42.29x prices in growth that has not materialized, and with three of four key growth metrics unavailable, the valuation is difficult to anchor. Management instability (new CEO, COO, and multiple C-suite appointments in under 12 months) raises execution risk for a complex regulatory-heavy market entry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U.S. prediction markets launch with Crypto.com partnership in a regulated state, establishing product-market fit and generating first prediction markets revenue — could re-rate the stock significantly given the $68M market cap base [3]</w:t>
      </w:r>
    </w:p>
    <w:p>
      <w:pPr>
        <w:spacing w:before="40" w:after="40"/>
        <w:ind w:left="283"/>
      </w:pPr>
      <w:r>
        <w:rPr>
          <w:rFonts w:ascii="Calibri" w:hAnsi="Calibri"/>
          <w:b/>
          <w:color w:val="4A6B25"/>
          <w:sz w:val="20"/>
        </w:rPr>
        <w:t xml:space="preserve">2. </w:t>
      </w:r>
      <w:r>
        <w:rPr>
          <w:rFonts w:ascii="Calibri" w:hAnsi="Calibri"/>
          <w:b w:val="0"/>
          <w:color w:val="3A4A28"/>
          <w:sz w:val="20"/>
        </w:rPr>
        <w:t>Applied AI deployment driving compliance automation and operational efficiency, reducing the per-state regulatory cost of prediction markets expansion and improving unit economics [3]</w:t>
      </w:r>
    </w:p>
    <w:p>
      <w:pPr>
        <w:spacing w:before="40" w:after="40"/>
        <w:ind w:left="283"/>
      </w:pPr>
      <w:r>
        <w:rPr>
          <w:rFonts w:ascii="Calibri" w:hAnsi="Calibri"/>
          <w:b/>
          <w:color w:val="4A6B25"/>
          <w:sz w:val="20"/>
        </w:rPr>
        <w:t xml:space="preserve">3. </w:t>
      </w:r>
      <w:r>
        <w:rPr>
          <w:rFonts w:ascii="Calibri" w:hAnsi="Calibri"/>
          <w:b w:val="0"/>
          <w:color w:val="3A4A28"/>
          <w:sz w:val="20"/>
        </w:rPr>
        <w:t>Strategic acquisition or partnership with a larger iGaming or sportsbook operator seeking prediction markets capabilities, potentially at a premium to the current micro-cap valuation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Continuing revenue decline as iGaming market exits outpace prediction markets revenue ramp — Q2 2026 revenue of $2.81M (-52% YoY) could deteriorate further before new revenue streams materialize, pressuring the $18M cash position [2]</w:t>
      </w:r>
    </w:p>
    <w:p>
      <w:pPr>
        <w:spacing w:before="40" w:after="40"/>
        <w:ind w:left="283"/>
      </w:pPr>
      <w:r>
        <w:rPr>
          <w:rFonts w:ascii="Calibri" w:hAnsi="Calibri"/>
          <w:b/>
          <w:color w:val="4A6B25"/>
          <w:sz w:val="20"/>
        </w:rPr>
        <w:t xml:space="preserve">2. </w:t>
      </w:r>
      <w:r>
        <w:rPr>
          <w:rFonts w:ascii="Calibri" w:hAnsi="Calibri"/>
          <w:b w:val="0"/>
          <w:color w:val="3A4A28"/>
          <w:sz w:val="20"/>
        </w:rPr>
        <w:t>Prediction markets competitive landscape dominated by Kalshi (regulated U.S. leader), Polymarket (crypto-native), and potential entry by DraftKings/FanDuel with vastly greater resources, brand recognition, and customer bases — High Roller's micro-cap scale makes it difficult to compete [3]</w:t>
      </w:r>
    </w:p>
    <w:p>
      <w:pPr>
        <w:spacing w:before="40" w:after="40"/>
        <w:ind w:left="283"/>
      </w:pPr>
      <w:r>
        <w:rPr>
          <w:rFonts w:ascii="Calibri" w:hAnsi="Calibri"/>
          <w:b/>
          <w:color w:val="4A6B25"/>
          <w:sz w:val="20"/>
        </w:rPr>
        <w:t xml:space="preserve">3. </w:t>
      </w:r>
      <w:r>
        <w:rPr>
          <w:rFonts w:ascii="Calibri" w:hAnsi="Calibri"/>
          <w:b w:val="0"/>
          <w:color w:val="3A4A28"/>
          <w:sz w:val="20"/>
        </w:rPr>
        <w:t>Liquidity risk: average daily dollar volume of ~$1M sits at the IOWN floor threshold, and further stock price declines or volume reduction could make the position illiquid and uninvestable for institutional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Online gambling is a digital-native business that faces meaningful AI disruption risk from multiple vectors. AI-powered recommendation engines, personalized gaming experiences, and automated customer acquisition could commoditize the online casino experience, reducing differentiation for small operators like High Roller [3]. AI-generated content and synthetic gaming environments could lower barriers to entry for new competitors. However, online gambling requires jurisdiction-specific regulatory licenses, compliance infrastructure, and payment processing relationships that create meaningful switching costs and barriers that AI alone cannot replicate. The prediction markets pivot adds exposure to AI-driven analytics competitors but also positions the company in a growing category. AI Opportunity (1/1): High Roller has made concrete AI investments — appointing a Head of Applied AI, investing in compliance automation, product personalization, and customer engagement tools [3]. CEO Seth Young has explicitly stated that AI must support 'compliance at scale,' suggesting AI is being embedded into the core operating model for the prediction markets launch. While nascent and unquantified, this represents active AI revenue integration efforts.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High Roller Technologies FY2025 10-K Filing — Revenue $20.45M (-11.9% YoY), Net Income $3.16M (incl. $2.47M discontinued ops), Operating Loss $6.2M (-30.2% margin), March 2026</w:t>
      </w:r>
    </w:p>
    <w:p>
      <w:pPr>
        <w:spacing w:before="20" w:after="20"/>
        <w:ind w:left="170"/>
      </w:pPr>
      <w:r>
        <w:rPr>
          <w:rFonts w:ascii="Calibri" w:hAnsi="Calibri"/>
          <w:b/>
          <w:color w:val="4A6B25"/>
          <w:sz w:val="15"/>
        </w:rPr>
        <w:t xml:space="preserve">2. </w:t>
      </w:r>
      <w:r>
        <w:rPr>
          <w:rFonts w:ascii="Calibri" w:hAnsi="Calibri"/>
          <w:b w:val="0"/>
          <w:color w:val="3A4A28"/>
          <w:sz w:val="17"/>
        </w:rPr>
        <w:t>High Roller Technologies Q2 2026 8-K Filing — Revenue $2.81M (-52% YoY), Net Loss from Continuing Ops $2.4M, Cash $18.0M, Stockholders' Equity $29.6M, July 2026</w:t>
      </w:r>
    </w:p>
    <w:p>
      <w:pPr>
        <w:spacing w:before="20" w:after="20"/>
        <w:ind w:left="170"/>
      </w:pPr>
      <w:r>
        <w:rPr>
          <w:rFonts w:ascii="Calibri" w:hAnsi="Calibri"/>
          <w:b/>
          <w:color w:val="4A6B25"/>
          <w:sz w:val="15"/>
        </w:rPr>
        <w:t xml:space="preserve">3. </w:t>
      </w:r>
      <w:r>
        <w:rPr>
          <w:rFonts w:ascii="Calibri" w:hAnsi="Calibri"/>
          <w:b w:val="0"/>
          <w:color w:val="3A4A28"/>
          <w:sz w:val="17"/>
        </w:rPr>
        <w:t>High Roller Technologies AI Strategy and Prediction Markets Pivot — Head of Applied AI Nicholis Muller appointed, Crypto.com partnership, CEO Seth Young commentary, CasinoGuardian, StockTitan, May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CNN Markets — ROLR Key Statistics: PE 42.29x, D/E 3%, ROE 8.45%, Market Cap $68M, Stock Price $6.67, Avg Volume ~150K,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High Roller Technologies IR — NYSE American Compliance Regained April 2026, $25M Registered Direct Offering Closed, Kindbridge Responsible Gambling LOI, ir.highroller.com,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