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ROL</w:t>
      </w:r>
      <w:r>
        <w:rPr>
          <w:rFonts w:ascii="Calibri" w:hAnsi="Calibri"/>
          <w:b/>
          <w:color w:val="1A2010"/>
          <w:sz w:val="40"/>
        </w:rPr>
        <w:t xml:space="preserve">  Rollins, Inc.</w:t>
      </w:r>
    </w:p>
    <w:p>
      <w:pPr>
        <w:spacing w:after="120"/>
      </w:pPr>
      <w:r>
        <w:rPr>
          <w:rFonts w:ascii="Calibri" w:hAnsi="Calibri"/>
          <w:b/>
          <w:color w:val="6E8450"/>
          <w:sz w:val="18"/>
        </w:rPr>
        <w:t>DIVIDEND SLEEVE · 2026-09-04 · Inspire: 42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Business Services · NYSE · United States</w:t>
      </w:r>
    </w:p>
    <w:p>
      <w:pPr>
        <w:spacing w:after="80"/>
      </w:pPr>
      <w:r>
        <w:rPr>
          <w:rFonts w:ascii="Calibri" w:hAnsi="Calibri"/>
          <w:b w:val="0"/>
          <w:color w:val="3A4A28"/>
          <w:sz w:val="20"/>
        </w:rPr>
        <w:t>Rollins, Inc. is the world's second-largest pest control company, providing residential, commercial, and termite and ancillary pest control services through its family of brands including Orkin, HomeTeam Pest Defense, Clark Pest Control, Northwest Exterminating, and other regional subsidiaries. In H1 2026, Rollins reported revenue of $2.0B (+8.9% YoY) with organic growth of 6.1% and 2.8% from acquisitions. Q2 2026 revenue grew 7.9% to $1.1B with adjusted EPS of $0.32, though gross margin compressed 100bps. Full-year 2026 guidance targets at least 6% organic growth plus 2-3% inorganic with FCF conversion above 100%. Founded in 1948 by O. Wayne Rollins, headquartered in Atlanta, Georgia.</w:t>
      </w:r>
    </w:p>
    <w:p>
      <w:r>
        <w:rPr>
          <w:rFonts w:ascii="Calibri" w:hAnsi="Calibri"/>
          <w:b/>
          <w:color w:val="6E8450"/>
          <w:sz w:val="18"/>
        </w:rPr>
        <w:t>19,000 Employees · https://www.rollins.com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Rollins has grown consistently through strategic acquisitions — HomeTeam Pest Defense, Clark Pest Control, Fox Pest Control, and numerous regional operators — expanding geographic footprint and capabilities. Q1 2026 marked the 98th consecutive quarter of revenue growth [1]. However, these are bolt-on acquisitions in the same industry, not transformative pivots or new product launches. The core business model of dispatching technicians to treat properties for pests has not fundamentally changed. AI Deployment (1/2): Route Optimization AI deployed to reduce fuel consumption and improve scheduling efficiency. Leadership outlined a strategy focused on 'leveraging technology and AI to drive sustainable growth,' but no specific revenue gains or cost savings have been quantified [2]. Market Share (2/2): Rollins is the #2 pest control company globally behind Rentokil (post-Terminix merger), with Q1 2026 revenue of $906.4M growing 10.2% YoY [1]. The company is actively gaining share through organic growth of 6.6% plus 3.6% acquisition-driven growth, with specific gains: commercial +7.7% organic, termite/ancillary +9.8% organic [1]. Product Pipeline (1/2): Medium-term targets include 7-8% organic revenue growth plus 2-3% from M&amp;A. The Co-Lab leadership development initiative and low-toxicity treatment systems represent investment in capabilities but not specific next-gen products [2]. R&amp;D Intensity (0/1): Pest control companies have inherently low R&amp;D intensity. Rollins' innovation focus is operational efficiency and technology implementation, not product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Rollins' strategic framework emphasizes four pillars — 'people first, customer loyalty, growth mindset, and operational efficiency' — which describe how the company operates rather than why it exists [2]. The company's implicit purpose is protecting homes and businesses from pests, which is practically important but not deeply inspiring beyond the functional level. The mission is clear but interchangeable with any service business. Community Impact (0/2): No evidence of significant charitable programs, corporate foundation, or quantified community investment beyond standard corporate citizenship. The Crown Leadership Award for ethical leadership given to CEO Gahlhoff signals values but is an internal recognition, not community impact [2]. Employee Retention (1/2): CEO Jerry Gahlhoff started his career in 1991 as an entomologist and rose through leadership roles over 35 years, eventually becoming President and CEO — demonstrating a strong internal promotion culture [2]. The Co-Lab initiative for leadership development invests in talent retention. Average retention data is not published, but the 'people first' pillar and CEO's career trajectory suggest above-average commitment to employees. Insider Buying (0/2): The Rollins family historically held large ownership stakes, providing alignment, but no evidence of meaningful net insider buying by current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 sleeve metrics following the stock's 26% decline, which pushed the yield above 2% and reclassified ROL to the Dividend sleeve. Rollins' financial profile is exceptionally strong: D/E of 77% approaches the 70% target (score 0.97), ROE of 38.7% is nearly 2.6x the 15% target (score 1.0), and revenue growth of 7.9% in Q2 2026 with H1 growth of 8.9% approaches the 10% target (score 0.93) [1][3]. 5-year revenue CAGR of approximately 9.6% is near-target (score 0.97). Profit margin of 13.8% is solid for a services business but below the 20% target (score 0.69). Forward PE of 33.4x remains elevated (score 0.67). Dividend metrics are outstanding: 25 consecutive years of payments (score 1.0, 2x weight), 20 consecutive years of growth (score 1.0), payout ratio of 61.9% (score 0.64), and 5-year dividend growth CAGR of 17.9% — nearly 3x the 6% target (score 1.0, 2x weight) [3]. Q2 2026 gross margin compressed 100bps due to lower volume, medical costs, and fuel headwinds [1]. Liquidity floor cleared: ~4.9M avg vol x $36.36 = $178.2M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Rollins exhibits strong infinite game characteristics rooted in its 78-year history and consistent execution. The company has maintained its core pest control focus through eight decades, multiple market cycles, and a family-to-professional leadership transition, demonstrating the consistency Sinek values above all else. CEO Gahlhoff's 35-year career from entomologist to CEO and the 'people first' culture create genuine organizational trust. However, the company's purpose — pest control — is pragmatic rather than transcendent, and the competitive language occasionally defaults to market share and growth metrics rather than self-improvement orientation.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Rollins' purpose of protecting homes, businesses, and public health from pest threats is genuine, enduring, and has been validated by 78 years of consistent execution through every market cycle since 1948 [2]. The company has never strayed from its core mission, which Sinek would recognize as the kind of focused consistency that defines infinite players. However, the purpose is fundamentally practical — protecting structures from pests — rather than idealistic or aspirational. It doesn't describe a future state that doesn't yet exist. Strategic decisions can be traced to this purpose (acquisitions to expand coverage, The Co-Lab to develop leaders), but it lacks the transformative quality that distinguishes a 10.</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CEO Jerry Gahlhoff's career arc is a powerful indicator of organizational trust — starting as an entomologist in 1991, rising through leadership roles at various Rollins subsidiary brands over 35 years, receiving the Crown Leadership Award for ethical leadership, and ultimately becoming President and CEO [2]. This trajectory is only possible in a high-trust organization that identifies, develops, and promotes internal talent. The 'people first' strategic pillar is backed by The Co-Lab leadership development initiative, and the company's consistent ability to integrate acquisitions (maintaining 98 consecutive quarters of growth) requires trust across diverse organizational units [1][2]. The founding Rollins family's continued involvement provides cultural continuity.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Rollins competes in a market where Rentokil-Terminix is larger, and the company's response has been to focus on service quality, operational efficiency, and customer loyalty rather than engaging in price wars or aggressive competitive rhetoric [2]. CEO Gahlhoff's emphasis on 'continuous improvement across four strategic pillars' frames competition as a catalyst for self-improvement. The company acknowledges that M&amp;A competition exists (2-3% annual revenue from acquisitions) but focuses on execution and integration rather than competitor destruction.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Rollins has evolved incrementally over its 78-year history — expanding from primarily residential pest control into commercial services, termite treatment, wildlife management, and mosquito control. The aggressive acquisition strategy (Clark Pest Control, Fox Pest Control, HomeTeam, numerous regional operators) represents meaningful geographic and service capability expansion [1]. The transition from a family-controlled company to professionally managed enterprise was a significant organizational evolution. However, the core business model of dispatching technicians to treat properties has not fundamentally changed, and no transformative pivot has occurred.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Rollins has consistently invested in growth through all market cycles — maintaining its acquisition pace, investing in technology modernization, and building The Co-Lab during periods of margin pressure [2]. Q1 2026 adjusted operating margin declined 100bps YoY, but management continued investing in capabilities rather than cutting to protect short-term margins [1]. The company's commitment to organic growth of 7-8% plus 2-3% M&amp;A represents a long-term capacity-building mindset. However, no specific example of a dramatically costly long-term bet or principled stand was identified — the investments are prudent rather than courageous.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Rollins is a high-quality compounder with H1 2026 revenue of $2.0B growing 8.9% YoY through a combination of 6.1% organic growth and 2.8% from acquisitions, with particular strength in termite and ancillary services (+11.9%) and commercial pest control (+9.1%) [1]. The 26% stock decline from 52-week highs creates a more attractive entry point at $36.36, pushing the yield to 2.02% and making ROL a dividend compounder with 25 consecutive years of payments and 17.9% 5-year dividend growth CAGR [3]. ROE of 38.7% reflects exceptional capital efficiency in an asset-light services model, D/E of 77% demonstrates balance sheet discipline, and management guides for at least 6% organic growth plus 2-3% M&amp;A with FCF conversion above 100% [1][3]. AI resilience is among the highest possible (9/10) as physical pest control services cannot be digitally substituted.</w:t>
      </w:r>
    </w:p>
    <w:p>
      <w:pPr>
        <w:spacing w:after="120"/>
      </w:pPr>
      <w:r>
        <w:rPr>
          <w:rFonts w:ascii="Calibri" w:hAnsi="Calibri"/>
          <w:b w:val="0"/>
          <w:color w:val="3A4A28"/>
          <w:sz w:val="20"/>
        </w:rPr>
        <w:t>The valuation remains stretched despite the pullback. Forward PE of 33.4x and PEG of 2.66 still price in premium execution for a business growing revenue at 8% and earning 13.8% net margins [3]. Q2 2026 gross margin compressed 100bps due to lower-than-expected volume, higher medical costs, and fuel headwinds, while the deceleration from Q1's 10.2% revenue growth to Q2's 7.9% raises questions about growth sustainability [1]. The pest control industry faces structural challenges: labor shortages drive technician wage inflation, stricter pesticide regulations (EPA 2026 Pesticide General Permit, neonicotinoid bans) increase compliance costs, and the Rentokil-Terminix combination creates a well-capitalized competitor with scale advantages. The $17.7B market cap still demands consistent high-single-digit organic growth to sustain the premium multiple.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organic revenue growth acceleration toward 7-8% target fueled by commercial pest control (+7.7% organic) and termite/ancillary services (+9.8% organic), the two highest-growth segments [1]</w:t>
      </w:r>
    </w:p>
    <w:p>
      <w:pPr>
        <w:spacing w:before="40" w:after="40"/>
        <w:ind w:left="283"/>
      </w:pPr>
      <w:r>
        <w:rPr>
          <w:rFonts w:ascii="Calibri" w:hAnsi="Calibri"/>
          <w:b/>
          <w:color w:val="4A6B25"/>
          <w:sz w:val="20"/>
        </w:rPr>
        <w:t xml:space="preserve">2. </w:t>
      </w:r>
      <w:r>
        <w:rPr>
          <w:rFonts w:ascii="Calibri" w:hAnsi="Calibri"/>
          <w:b w:val="0"/>
          <w:color w:val="3A4A28"/>
          <w:sz w:val="20"/>
        </w:rPr>
        <w:t>M&amp;A pipeline execution at 2-3% annual revenue contribution from acquisitions in a fragmented $25B+ US pest control market, with leverage ratio of 0.9x providing ample acquisition capacity [1]</w:t>
      </w:r>
    </w:p>
    <w:p>
      <w:pPr>
        <w:spacing w:before="40" w:after="40"/>
        <w:ind w:left="283"/>
      </w:pPr>
      <w:r>
        <w:rPr>
          <w:rFonts w:ascii="Calibri" w:hAnsi="Calibri"/>
          <w:b/>
          <w:color w:val="4A6B25"/>
          <w:sz w:val="20"/>
        </w:rPr>
        <w:t xml:space="preserve">3. </w:t>
      </w:r>
      <w:r>
        <w:rPr>
          <w:rFonts w:ascii="Calibri" w:hAnsi="Calibri"/>
          <w:b w:val="0"/>
          <w:color w:val="3A4A28"/>
          <w:sz w:val="20"/>
        </w:rPr>
        <w:t>Technology modernization including Route Optimization AI driving operational efficiency gains that could reverse the Q1 2026 margin compression and expand adjusted operating margin above 17%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Premium valuation at 33.4x forward PE and 2.66 PEG leaves limited margin of safety despite the 26% pullback — organic growth deceleration from Q1's 10.2% to Q2's 7.9% and further margin pressure could trigger additional multiple compression from $17.7B market cap</w:t>
      </w:r>
    </w:p>
    <w:p>
      <w:pPr>
        <w:spacing w:before="40" w:after="40"/>
        <w:ind w:left="283"/>
      </w:pPr>
      <w:r>
        <w:rPr>
          <w:rFonts w:ascii="Calibri" w:hAnsi="Calibri"/>
          <w:b/>
          <w:color w:val="4A6B25"/>
          <w:sz w:val="20"/>
        </w:rPr>
        <w:t xml:space="preserve">2. </w:t>
      </w:r>
      <w:r>
        <w:rPr>
          <w:rFonts w:ascii="Calibri" w:hAnsi="Calibri"/>
          <w:b w:val="0"/>
          <w:color w:val="3A4A28"/>
          <w:sz w:val="20"/>
        </w:rPr>
        <w:t>Q2 2026 gross margin compressed 100bps due to lower-than-expected volume, higher medical costs, and fuel headwinds, while revenue growth decelerated from 10.2% (Q1) to 7.9% (Q2), signaling labor cost inflation and volume softness are outpacing pricing power [1]</w:t>
      </w:r>
    </w:p>
    <w:p>
      <w:pPr>
        <w:spacing w:before="40" w:after="40"/>
        <w:ind w:left="283"/>
      </w:pPr>
      <w:r>
        <w:rPr>
          <w:rFonts w:ascii="Calibri" w:hAnsi="Calibri"/>
          <w:b/>
          <w:color w:val="4A6B25"/>
          <w:sz w:val="20"/>
        </w:rPr>
        <w:t xml:space="preserve">3. </w:t>
      </w:r>
      <w:r>
        <w:rPr>
          <w:rFonts w:ascii="Calibri" w:hAnsi="Calibri"/>
          <w:b w:val="0"/>
          <w:color w:val="3A4A28"/>
          <w:sz w:val="20"/>
        </w:rPr>
        <w:t>Regulatory headwinds from EPA 2026 Pesticide General Permit and state-level neonicotinoid restrictions increase compliance costs and require continuous formulation innovation to maintain treatment efficacy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Rollins' core business is structurally immune to AI disruption — pest control requires physical human presence at customer premises to inspect, apply chemical treatments, set traps, seal entry points, and manage biological pest populations [1][2]. No AI system can crawl under a house to treat for termites, spray for mosquitoes in a backyard, or inspect a restaurant for rodent activity. The service is inherently local, physical, and relationship-driven. AI actually increases demand indirectly: as data centers proliferate and commercial real estate expands, pest control needs grow. Regulatory requirements for licensed pest control technicians create additional barriers to AI substitution. Rollins' own deployment of Route Optimization AI demonstrates that AI is a pure enabler for this business — reducing costs and improving service delivery rather than threatening the core service model [2]. AI Opportunity (0/1): No AI-generated revenue products. AI is deployed operationally for route optimization and scheduling, but Rollins does not sell AI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Rollins H1 2026 Financial Results — H1 revenue $2.0B (+8.9% YoY), Q2 revenue $1.1B (+7.9%), adj. EPS $0.32, organic growth 6.1%, guidance 6%+ organic plus 2-3% M&amp;A, rollins.com and prnewswire.com, July 2026</w:t>
      </w:r>
    </w:p>
    <w:p>
      <w:pPr>
        <w:spacing w:before="20" w:after="20"/>
        <w:ind w:left="170"/>
      </w:pPr>
      <w:r>
        <w:rPr>
          <w:rFonts w:ascii="Calibri" w:hAnsi="Calibri"/>
          <w:b/>
          <w:color w:val="4A6B25"/>
          <w:sz w:val="15"/>
        </w:rPr>
        <w:t xml:space="preserve">2. </w:t>
      </w:r>
      <w:r>
        <w:rPr>
          <w:rFonts w:ascii="Calibri" w:hAnsi="Calibri"/>
          <w:b w:val="0"/>
          <w:color w:val="3A4A28"/>
          <w:sz w:val="17"/>
        </w:rPr>
        <w:t>'Bugs, Business, and Big Returns: A Deep Dive into Rollins, Inc.' — CEO Gahlhoff 35-year career, people first culture, Co-Lab initiative, AI route optimization, FinancialContent, February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 Yahoo Finance — ROL Statistics: market cap $17.7B, forward PE 33.41, PEG 2.66, D/E 77%, ROE 38.67%, profit margin 13.78%, dividend yield 2.02%,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Rollins Medium-Term Growth Strategy — 7-8% organic growth target, 2-3% M&amp;A growth, leverage ratio 0.9x, stocktitan.net, 2026</w:t>
      </w:r>
    </w:p>
    <w:p>
      <w:pPr>
        <w:spacing w:before="20" w:after="20"/>
        <w:ind w:left="170"/>
      </w:pPr>
      <w:r>
        <w:rPr>
          <w:rFonts w:ascii="Calibri" w:hAnsi="Calibri"/>
          <w:b/>
          <w:color w:val="4A6B25"/>
          <w:sz w:val="15"/>
        </w:rPr>
        <w:t xml:space="preserve">5. </w:t>
      </w:r>
      <w:r>
        <w:rPr>
          <w:rFonts w:ascii="Calibri" w:hAnsi="Calibri"/>
          <w:b w:val="0"/>
          <w:color w:val="3A4A28"/>
          <w:sz w:val="17"/>
        </w:rPr>
        <w:t>EPA 2026 Pesticide General Permit — new NPDES permitting requirements effective October 2026, epa.gov, December 2024</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