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ROP</w:t>
      </w:r>
      <w:r>
        <w:rPr>
          <w:rFonts w:ascii="Calibri" w:hAnsi="Calibri"/>
          <w:b/>
          <w:color w:val="1A2010"/>
          <w:sz w:val="40"/>
        </w:rPr>
        <w:t xml:space="preserve">  Roper Technologies, Inc.</w:t>
      </w:r>
    </w:p>
    <w:p>
      <w:pPr>
        <w:spacing w:after="120"/>
      </w:pPr>
      <w:r>
        <w:rPr>
          <w:rFonts w:ascii="Calibri" w:hAnsi="Calibri"/>
          <w:b/>
          <w:color w:val="6E8450"/>
          <w:sz w:val="18"/>
        </w:rPr>
        <w:t>GROWTH SLEEVE · 2026-09-18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Roper Technologies is a diversified technology company that designs and develops vertical software and technology-enabled products across three segments: Application Software (property insurance, K-12 education, transit, food service), Network Software (life insurance analytics, supply chain, healthcare, church management), and Technology Enabled Products (water meters, medical devices, RFID readers). The company completed a multi-year transformation from an industrial conglomerate (formerly Roper Industries) to a software-centric platform, systematically divesting industrial assets while acquiring niche-dominant vertical software businesses. Q2 2026 revenue grew 9% to $2.11B with backlog up 11% to $3.29B. Market cap is approximately $37B.</w:t>
      </w:r>
    </w:p>
    <w:p>
      <w:r>
        <w:rPr>
          <w:rFonts w:ascii="Calibri" w:hAnsi="Calibri"/>
          <w:b/>
          <w:color w:val="6E8450"/>
          <w:sz w:val="18"/>
        </w:rPr>
        <w:t>19,400 Employees · https://www.ropertech.com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Roper executed one of the most successful corporate transformations in the industrial sector over the past decade, pivoting from Roper Industries (diversified industrial conglomerate with pumps, valves, and sensors) to Roper Technologies (vertical software platform) through systematic divestitures of industrial assets (TransCore, AMOT, Alpha, Cornell) and acquisition of high-quality software businesses (Vertafore, Frontline Education, Aderant) [1]. Revenue grew from $5.37B (2022) to $7.90B (2025), a 13.8% 3-year CAGR, while shifting the portfolio to ~75% recurring software revenue. AI Deployment (1/2): CEO Neil Hunn stated AI represents a 'significant opportunity to strengthen the value our businesses deliver' and appointed dedicated AI leadership (Shane Luke, Edward Raffaele) in late 2025 to advance AI capabilities across the portfolio [2]. Several businesses now offer AI-enabled SaaS and analytics solutions, but specific AI revenue or cost savings have not been quantified. Market Share (2/2): Roper holds #1 or #2 positions in multiple vertical software niches — property/casualty insurance (Vertafore), K-12 school administration (Frontline Education), food service technology, transit management, and church management software — leveraging domain-specific expertise and high switching costs [1]. Product Pipeline (1/2): Ongoing SaaS transition across portfolio with cloud-based migrations driving higher recurring revenue and retention rates. However, specific next-generation product launches with named timelines are not well-publicized given the decentralized operating model. R&amp;D Intensity (0/1): Roper does not separately disclose consolidated R&amp;D spending, and the holding company structure makes R&amp;D benchmarking against software peers difficult.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Roper describes its purpose as enabling 'market-leading vertical software businesses' to thrive by providing capital, strategic guidance, and operational autonomy, serving mission-critical functions in healthcare, education, government, insurance, and food safety. The model is clear and connects to serving important societal functions, but it reads more as a capital allocation philosophy than a distinctive purpose that inspires beyond the obvious [3]. Community Impact (0/2): No evidence of significant distinctive charitable programs, corporate foundation, or community investment was identified. Roper's decentralized model delegates social impact to individual business units with no consolidated reporting on charitable giving. Employee Retention (1/2): Glassdoor shows 91% CEO approval rating for Neil Hunn, and the decentralized operating model grants significant autonomy to business unit leaders — a positive for retention. However, no specific turnover data, average tenure metrics, or distinctive cultural programs were identified [2]. Insider Buying (0/2): No evidence of meaningful net insider buying by executives in the last 12 months. The company repurchased 9.0M shares ($3.2B) over three quarters, but these are corporate buybacks, not personal insider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Roper demonstrates strong financial fundamentals with D/E of 60.5% well below the 70% target, profit margin of 30.2% exceeding the 20% target, and Forward P/E of 15.4x well below the 20x target — reflecting reasonable valuation for a high-quality software compounder [1]. Revenue growth YoY of 8.5% is slightly below the 10% target but the 3-year revenue CAGR of 13.8% (2022-2025) exceeds the 10% target with 2x weight. The primary drag is ROE of 13.1%, slightly below the 15% target (scored at 2x weight for growth), reflecting the goodwill-heavy balance sheet from serial acquisitions. PEG of 1.48 scores moderately at 0.76 with 2x weight. Free cash flow increased 11% to $447M in Q2 with operating cash flow up 16% to $469M [1]. The stock easily clears the liquidity floor at ~$321M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Roper Technologies demonstrates meaningful infinite game characteristics through its transformative pivot from an industrial conglomerate to a vertical software company — a decade-long strategic reinvention that required abandoning profitable legacy businesses in service of a higher-quality portfolio. The decentralized operating model, which grants autonomy to business unit leaders, reflects trust-based governance. However, Roper's purpose is fundamentally rooted in capital allocation and value creation rather than a cause that transcends financial performance, and the holding company structure makes it difficult to identify a unifying Just Cause that inspires beyond shareholder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Roper's purpose — enabling niche-dominant vertical software businesses to serve mission-critical customer needs — is genuine and connects to important societal functions (healthcare, education, food safety, government). However, the purpose is more accurately described as a capital allocation philosophy than a Just Cause in Sinek's definition [3]. Leadership consistently references the operating model and portfolio quality rather than a vision of a better future state. The purpose is about being a great owner of businesses, not about advancing a cause that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Roper's decentralized operating model is inherently trust-based — business unit leaders operate with significant autonomy over strategy, hiring, and product decisions, with the corporate center providing capital allocation and strategic guidance rather than top-down mandates [2]. CEO Neil Hunn's 91% Glassdoor approval rating suggests leadership is generally well-regarded. However, no specific evidence of employee empowerment programs, psychological safety initiatives, or cultural practices beyond the decentralized model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management commentary acknowledging competitors' strengths or using competitive pressure for self-improvement. Roper operates in niche vertical software markets where direct competition is often limited, and the company's competitive language focuses on market leadership and customer stickiness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Roper's transformation from Roper Industries (diversified industrial conglomerate) to Roper Technologies (vertical software platform) is a textbook example of existential flexibility. Over 8+ years, the company systematically divested profitable industrial businesses — TransCore (tolling), AMOT (industrial controls), Alpha (process instruments), Cornell (pumps) — and reinvested proceeds into high-quality vertical software acquisitions [1]. The company renamed itself in 2015 to signal the strategic pivot. This was not a desperation move — industrial businesses were profitable — but a deliberate strategic reinvention in service of building a higher-quality, higher-margin portfolio with greater recurring revenue characteristics.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Roper demonstrated meaningful courage in divesting profitable industrial businesses (TransCore sold for $2.7B in 2021) to fund the transformation into a vertical software company, accepting short-term revenue disruption for long-term portfolio quality [1]. The recent $3.2B share repurchase program (9.0M shares, 8%+ of outstanding) shows willingness to return capital rather than pursue empire-building acquisitions. However, these decisions, while strategically sound, were driven by financial optimization rather than by holding to a purpose through costly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Roper Technologies at 15.4x forward earnings is a rare high-quality software compounder trading at a reasonable valuation — Q2 2026 revenue grew 9% to $2.11B with 5% organic growth and 3% from acquisitions, while free cash flow increased 11% to $447M and operating cash flow surged 16% to $469M [1]. The company's portfolio of niche-dominant vertical software businesses (Vertafore, Frontline Education, Aderant, Deltek) generates ~75% recurring revenue with high switching costs, creating durable competitive advantages. Adjusted DEPS guidance was raised to $22.15-$22.30 for FY2026, and the $3.2B buyback program (8%+ of shares outstanding) is directly accretive to per-share metrics. Backlog grew 11% to $3.29B, providing strong forward revenue visibility. Profit margin of 30.2% and D/E of 60.5% reflect financial discipline, while the Inspire Impact Score of 65 (ALIGNED) with zero negative attributions makes ROP attractive for faith-based portfolios.</w:t>
      </w:r>
    </w:p>
    <w:p>
      <w:pPr>
        <w:spacing w:after="120"/>
      </w:pPr>
      <w:r>
        <w:rPr>
          <w:rFonts w:ascii="Calibri" w:hAnsi="Calibri"/>
          <w:b w:val="0"/>
          <w:color w:val="3A4A28"/>
          <w:sz w:val="20"/>
        </w:rPr>
        <w:t>The bear case centers on decelerating organic growth and acquisition dependency. Organic revenue growth of 5% in Q2 lags the 9% total growth rate, meaning acquisitions (3%) and the Indicor equity gain ($835M) flatter the headline numbers [1]. ROE of 13.1% is below the 15% target, reflecting the goodwill-heavy balance sheet accumulated through serial acquisitions — a structural feature of the capital-light acquirer model that depresses returns on equity. The PEG ratio of 1.48 suggests moderate but not exceptional growth-adjusted valuation. Roper's decentralized model, while operationally effective, makes it difficult to drive cross-portfolio AI synergies or enterprise-wide innovation at the pace of pure-play software peers. The company's transformation from industrial conglomerate to software platform is largely complete, raising questions about the next phase of value creation — whether through organic innovation, continued acquisitions (with a depleted divestiture pipeline), or shareholder returns. Technology Enabled Products (water meters, medical devices) remain a lower-margin legacy segment that dilutes the software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adjusted DEPS guidance to $22.15-$22.30 with 8%+ revenue growth outlook and ~6% organic growth, supported by $3.29B backlog up 11% YoY providing strong revenue visibility [1]</w:t>
      </w:r>
    </w:p>
    <w:p>
      <w:pPr>
        <w:spacing w:before="40" w:after="40"/>
        <w:ind w:left="283"/>
      </w:pPr>
      <w:r>
        <w:rPr>
          <w:rFonts w:ascii="Calibri" w:hAnsi="Calibri"/>
          <w:b/>
          <w:color w:val="4A6B25"/>
          <w:sz w:val="20"/>
        </w:rPr>
        <w:t xml:space="preserve">2. </w:t>
      </w:r>
      <w:r>
        <w:rPr>
          <w:rFonts w:ascii="Calibri" w:hAnsi="Calibri"/>
          <w:b w:val="0"/>
          <w:color w:val="3A4A28"/>
          <w:sz w:val="20"/>
        </w:rPr>
        <w:t>AI deployment across vertical software portfolio — dedicated AI leadership appointed late 2025 with Shane Luke and Edward Raffaele focused on embedding AI capabilities into niche-dominant products, potentially driving pricing power and customer retention [2]</w:t>
      </w:r>
    </w:p>
    <w:p>
      <w:pPr>
        <w:spacing w:before="40" w:after="40"/>
        <w:ind w:left="283"/>
      </w:pPr>
      <w:r>
        <w:rPr>
          <w:rFonts w:ascii="Calibri" w:hAnsi="Calibri"/>
          <w:b/>
          <w:color w:val="4A6B25"/>
          <w:sz w:val="20"/>
        </w:rPr>
        <w:t xml:space="preserve">3. </w:t>
      </w:r>
      <w:r>
        <w:rPr>
          <w:rFonts w:ascii="Calibri" w:hAnsi="Calibri"/>
          <w:b w:val="0"/>
          <w:color w:val="3A4A28"/>
          <w:sz w:val="20"/>
        </w:rPr>
        <w:t>$3.2B share repurchase program (9.0M shares, 8%+ of outstanding) over three quarters is directly accretive to EPS, with additional buyback capacity likely given strong cash flow generation ($447M FCF in Q2 alone)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5% in Q2 2026 lags total growth of 9%, indicating increasing reliance on M&amp;A for headline growth — and the industrial divestiture pipeline that funded prior acquisitions is now largely exhausted [1]</w:t>
      </w:r>
    </w:p>
    <w:p>
      <w:pPr>
        <w:spacing w:before="40" w:after="40"/>
        <w:ind w:left="283"/>
      </w:pPr>
      <w:r>
        <w:rPr>
          <w:rFonts w:ascii="Calibri" w:hAnsi="Calibri"/>
          <w:b/>
          <w:color w:val="4A6B25"/>
          <w:sz w:val="20"/>
        </w:rPr>
        <w:t xml:space="preserve">2. </w:t>
      </w:r>
      <w:r>
        <w:rPr>
          <w:rFonts w:ascii="Calibri" w:hAnsi="Calibri"/>
          <w:b w:val="0"/>
          <w:color w:val="3A4A28"/>
          <w:sz w:val="20"/>
        </w:rPr>
        <w:t>ROE of 13.1% below the 15% target reflects $20B+ in goodwill from serial acquisitions, creating balance sheet drag that grows with each deal and constrains capital returns despite strong operating performance</w:t>
      </w:r>
    </w:p>
    <w:p>
      <w:pPr>
        <w:spacing w:before="40" w:after="40"/>
        <w:ind w:left="283"/>
      </w:pPr>
      <w:r>
        <w:rPr>
          <w:rFonts w:ascii="Calibri" w:hAnsi="Calibri"/>
          <w:b/>
          <w:color w:val="4A6B25"/>
          <w:sz w:val="20"/>
        </w:rPr>
        <w:t xml:space="preserve">3. </w:t>
      </w:r>
      <w:r>
        <w:rPr>
          <w:rFonts w:ascii="Calibri" w:hAnsi="Calibri"/>
          <w:b w:val="0"/>
          <w:color w:val="3A4A28"/>
          <w:sz w:val="20"/>
        </w:rPr>
        <w:t>Decentralized operating model limits ability to drive coordinated AI strategy or cross-portfolio innovation at enterprise scale, potentially leaving Roper's vertical software businesses vulnerable to AI-native competitors that can move faster in individual niches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Roper's vertical software businesses serve deeply embedded, mission-critical workflows in property insurance, food safety, healthcare, transit, K-12 education, and government — sectors with high switching costs, complex regulatory requirements, and domain-specific data moats that generic AI tools cannot easily replicate [1]. Enterprise customers typically integrate Roper's software into core operations (claims processing, student management, food service compliance), creating structural barriers to AI disruption. The Technology Enabled Products segment (water meters, medical devices, RFID readers) involves physical-world operations immune to AI substitution. However, some software functions (analytics, reporting, customer service) face competitive pressure from AI-native tools that could erode pricing power at the margin. AI Opportunity (0/1): Roper has appointed dedicated AI leadership and CEO Hunn has articulated AI as a strategic priority, with several businesses offering 'AI-enabled' SaaS and analytics [2]. However, no specific AI-driven revenue figures or quantified cost savings have been disclosed, and AI remains in the enablement phase rather than generating measurable incremental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Roper Technologies Q2 2026 Earnings Release — Revenue $2.11B (+9%), Organic Growth 5%, Adjusted DEPS $5.38 (+10%), FCF $447M (+11%), Backlog $3.29B (+11%), July 2026</w:t>
      </w:r>
    </w:p>
    <w:p>
      <w:pPr>
        <w:spacing w:before="20" w:after="20"/>
        <w:ind w:left="170"/>
      </w:pPr>
      <w:r>
        <w:rPr>
          <w:rFonts w:ascii="Calibri" w:hAnsi="Calibri"/>
          <w:b/>
          <w:color w:val="4A6B25"/>
          <w:sz w:val="15"/>
        </w:rPr>
        <w:t xml:space="preserve">2. </w:t>
      </w:r>
      <w:r>
        <w:rPr>
          <w:rFonts w:ascii="Calibri" w:hAnsi="Calibri"/>
          <w:b w:val="0"/>
          <w:color w:val="3A4A28"/>
          <w:sz w:val="17"/>
        </w:rPr>
        <w:t>Roper Technologies AI Leadership Appointments — Shane Luke and Edward Raffaele Named to Advance AI Capabilities, CEO Neil Hunn Commentary, Nasdaq Press Release, November 2025</w:t>
      </w:r>
    </w:p>
    <w:p>
      <w:pPr>
        <w:spacing w:before="20" w:after="20"/>
        <w:ind w:left="170"/>
      </w:pPr>
      <w:r>
        <w:rPr>
          <w:rFonts w:ascii="Calibri" w:hAnsi="Calibri"/>
          <w:b/>
          <w:color w:val="4A6B25"/>
          <w:sz w:val="15"/>
        </w:rPr>
        <w:t xml:space="preserve">3. </w:t>
      </w:r>
      <w:r>
        <w:rPr>
          <w:rFonts w:ascii="Calibri" w:hAnsi="Calibri"/>
          <w:b w:val="0"/>
          <w:color w:val="3A4A28"/>
          <w:sz w:val="17"/>
        </w:rPr>
        <w:t>Roper Technologies ESG Report and Corporate Overview — First ESG Report April 2022, Scope 1/2/3 Emissions Disclosure, SBTi Commitment, ropertech.com,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