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RPAY</w:t>
      </w:r>
      <w:r>
        <w:rPr>
          <w:rFonts w:ascii="Calibri" w:hAnsi="Calibri"/>
          <w:b/>
          <w:color w:val="1A2010"/>
          <w:sz w:val="40"/>
        </w:rPr>
        <w:t xml:space="preserve">  Repay Holdings Corporation</w:t>
      </w:r>
    </w:p>
    <w:p>
      <w:pPr>
        <w:spacing w:after="120"/>
      </w:pPr>
      <w:r>
        <w:rPr>
          <w:rFonts w:ascii="Calibri" w:hAnsi="Calibri"/>
          <w:b/>
          <w:color w:val="6E8450"/>
          <w:sz w:val="18"/>
        </w:rPr>
        <w:t>GROWTH SLEEVE · 2026-09-29 · Inspire: 58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Infrastructure · NASDAQ · United States</w:t>
      </w:r>
    </w:p>
    <w:p>
      <w:pPr>
        <w:spacing w:after="80"/>
      </w:pPr>
      <w:r>
        <w:rPr>
          <w:rFonts w:ascii="Calibri" w:hAnsi="Calibri"/>
          <w:b w:val="0"/>
          <w:color w:val="3A4A28"/>
          <w:sz w:val="20"/>
        </w:rPr>
        <w:t>Repay Holdings Corporation is a payment processing technology provider serving U.S. consumers and businesses through Consumer Payments (card processing and digital wallet services for personal loans, auto finance, and healthcare) and Business Payments (virtual credit card and enhanced ACH processing). Under co-founder and CEO John Morris, RPAY completed the transformative KUBRA acquisition in Q2 2026, adding 54 software partners to reach 352 total and generating $4.5M in annualized run-rate synergies exiting the quarter [1][2]. FY2026 guidance was raised to revenue of $340-346M with adjusted EBITDA of $141-146M and 45% FCF conversion.</w:t>
      </w:r>
    </w:p>
    <w:p>
      <w:r>
        <w:rPr>
          <w:rFonts w:ascii="Calibri" w:hAnsi="Calibri"/>
          <w:b/>
          <w:color w:val="6E8450"/>
          <w:sz w:val="18"/>
        </w:rPr>
        <w:t>486 Employees · https://repay.com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RPAY has expanded from a niche consumer payments processor to a broader payments platform through strategic acquisitions, with the Q2 2026 KUBRA acquisition adding 54 software partners and bringing the total to 352, with $4.5M in annualized synergies realized exiting Q2 [2]. The Business Payments segment delivers 'strong growth' (+18% YoY organic in Q1 2026) as a genuinely new revenue stream [1]. However, this is incremental capability-building through M&amp;A rather than transformative product innovation. AI Deployment (0/2): RPAY describes 'robust fraud detection and compliance protocols' but no disclosure specifically frames these as AI-driven or quantifies AI-related savings or revenue. Market Share (1/2): A meaningful niche player with 352 vertical software integrations across compliance-heavy sectors (lending, auto finance, healthcare), but not a category leader against larger processors like Fiserv or FIS. Product Pipeline (1/2): Raised FY2026 guidance to $340-346M revenue with 10-12% organic revenue growth is specific and achievable, but no next-generation product launches are named [1][2]. R&amp;D Intensity (0/1): No R&amp;D-to-revenue figure benchmarked against payments peers was found.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RPAY's mission of 'modernizing consumer and business payments' is generic fintech language, though the company's vertical focus on underserved sectors (personal lending, healthcare receivables, auto finance) provides modestly more societal purpose than a pure payment processor — facilitating digital payment access for consumers who may lack traditional banking relationships [4]. Community Impact (0/2): The company published a Corporate Sustainability Report and has a Sustainability Working Group, but no distinctive, dollar-quantified community program was identified [4]. Employee Retention (0/2): Only 51% of Glassdoor reviewers would recommend RPAY to a friend — below typical industry benchmarks — and co-founder and President Shaler Alias departed in February 2026 with the role left unfilled, signaling leadership instability [3]. Insider Buying (0/2): No evidence of meaningful net insider buying by CEO John Morris or other executives was found.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Forward P/E of 3.22x is exceptionally cheap vs the 20x target, scoring at maximum — the market deeply discounts RPAY after the 2025 impairment cycle [5]. Revenue growth surged to 33.2% YoY (Q2 2026) driven by the KUBRA acquisition, though organic growth was a more modest 6%; 5-year revenue CAGR of approximately 13% also scores at maximum at 2x weight [1][2]. The key drags are severe: D/E of 164.7% (scoring 0.59 vs 70% target) reflects acquisition-related leverage from KUBRA; ROE of -31.8% and GAAP profit margin of -49.6% both score 0, reflecting ongoing impairment and amortization charges from prior acquisitions — adjusted EBITDA margin is a healthier ~42% but GAAP metrics dominate the mechanical scoring [1]. Forward PEG estimated at ~0.2 scores at maximum at 2x weight, reflecting the extreme valuation compression. Liquidity passes at approximately $1.9M daily turnover.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RPAY shows limited infinite-game characteristics despite recent strategic ambition. The KUBRA acquisition demonstrates willingness to transform the business and raised guidance shows execution confidence, but the underlying mission is generic fintech boilerplate, the 2025 goodwill impairment of $242.7M reflects past acquisition overpayment, co-founder Shaler Alias departed in February 2026, and Glassdoor's 51% recommendation rate signals an organization under strain rather than one with deep purpose-driven culture [1][3].</w:t>
      </w:r>
    </w:p>
    <w:p>
      <w:pPr>
        <w:spacing w:before="200" w:after="40"/>
      </w:pPr>
      <w:r>
        <w:rPr>
          <w:rFonts w:ascii="Calibri" w:hAnsi="Calibri"/>
          <w:b/>
          <w:color w:val="1A2010"/>
          <w:sz w:val="22"/>
        </w:rPr>
        <w:t>Just Cause</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'Modernizing consumer and business payments' is a shallow, marketing-style purpose statement interchangeable with nearly any payments company. The company's vertical focus on lending, healthcare, and now utility billing through KUBRA adds modest societal relevance (financial inclusion), but strategic decisions appear commercially driven rather than cause-driven — the KUBRA acquisition was justified on synergy and revenue metrics, not mission alignment [2][4].</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Glassdoor's 51% recommendation rate is below typical industry norms, with reviews noting need for 'more consistent leadership, better communication, stronger onboarding, and a more disciplined go-to-market strategy' [3]. The February 2026 departure of co-founder and President Shaler Alias, with the role left permanently unfilled, signals organizational instability at the founding leadership level. New CFO appointed September 2025 adds to the leadership transition burden.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RPAY acknowledging competitors' strengths (Fiserv, FIS, or other integrated payment platforms) as a spur for self-improvement. Competitive commentary focuses on RPAY's unique vertical integration strategy rather than learning from larger rivals' capabilities.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KUBRA acquisition meaningfully transforms RPAY's business — adding utility billing and customer communication capabilities alongside the original consumer/business payments platform, expanding the total addressable market and adding 54 software partners in a single move [2]. This is the most strategically significant transaction in RPAY's history and shows willingness to evolve beyond the original niche, though the underlying payments-processing model has not fundamentally changed.</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Taking on the KUBRA acquisition while still absorbing the 2025 goodwill impairment cycle ($242.7M) shows ambition and confidence in the combined platform's potential. Management raised FY2026 guidance after Q1 and again incorporated KUBRA into Q2, projecting $340-346M revenue and $141-146M adjusted EBITDA with 45% FCF conversion [1][2]. However, the increased leverage (D/E now 164.7%) to fund KUBRA adds financial risk that limits future strategic flexibility.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RPAY is executing a growth inflection through the KUBRA acquisition, with Q2 2026 showing 33% reported revenue growth (6% organic), 352 total software partners, and $4.5M in annualized synergies already realized [2]. FY2026 guidance was raised to $340-346M revenue and $141-146M adjusted EBITDA with 45% FCF conversion, and 10-12% organic growth represents a meaningful acceleration from the flat 2025. The stock trades at an exceptionally compressed 3.22x forward earnings — among the cheapest valuations in payments software — creating significant upside potential if the KUBRA integration succeeds and GAAP profitability normalizes.</w:t>
      </w:r>
    </w:p>
    <w:p>
      <w:pPr>
        <w:spacing w:after="120"/>
      </w:pPr>
      <w:r>
        <w:rPr>
          <w:rFonts w:ascii="Calibri" w:hAnsi="Calibri"/>
          <w:b w:val="0"/>
          <w:color w:val="3A4A28"/>
          <w:sz w:val="20"/>
        </w:rPr>
        <w:t>However, the GAAP picture remains distressed: profit margin of -49.6% and ROE of -31.8% reflect ongoing impairment and amortization charges from prior acquisitions, and D/E of 164.7% is elevated after funding KUBRA [5]. The 2025 goodwill impairment of $242.7M in Consumer Payments demonstrates real value destruction from past M&amp;A — a pattern that could repeat with KUBRA. Co-founder departure, new CFO, and 51% Glassdoor recommendation rate signal organizational stress [3]. The Inspire Impact Score of 58 (ALIGNED) with 8 positive attributions and no negatives is a meaningful positive for faith-aligned mandates. This is a deep-value turnaround story where execution on KUBRA integration will determine whether the cheap valuation is a bargain or a trap.</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KUBRA integration progressing ahead of plan with $4.5M annualized synergies exiting Q2 2026 and potential for further cost efficiencies as 54 new software partners are fully onboarded [2]</w:t>
      </w:r>
    </w:p>
    <w:p>
      <w:pPr>
        <w:spacing w:before="40" w:after="40"/>
        <w:ind w:left="283"/>
      </w:pPr>
      <w:r>
        <w:rPr>
          <w:rFonts w:ascii="Calibri" w:hAnsi="Calibri"/>
          <w:b/>
          <w:color w:val="4A6B25"/>
          <w:sz w:val="20"/>
        </w:rPr>
        <w:t xml:space="preserve">2. </w:t>
      </w:r>
      <w:r>
        <w:rPr>
          <w:rFonts w:ascii="Calibri" w:hAnsi="Calibri"/>
          <w:b w:val="0"/>
          <w:color w:val="3A4A28"/>
          <w:sz w:val="20"/>
        </w:rPr>
        <w:t>FY2026 raised guidance of $340-346M revenue and $141-146M adjusted EBITDA — achieving the high end would validate the double-digit organic growth inflection story [1]</w:t>
      </w:r>
    </w:p>
    <w:p>
      <w:pPr>
        <w:spacing w:before="40" w:after="40"/>
        <w:ind w:left="283"/>
      </w:pPr>
      <w:r>
        <w:rPr>
          <w:rFonts w:ascii="Calibri" w:hAnsi="Calibri"/>
          <w:b/>
          <w:color w:val="4A6B25"/>
          <w:sz w:val="20"/>
        </w:rPr>
        <w:t xml:space="preserve">3. </w:t>
      </w:r>
      <w:r>
        <w:rPr>
          <w:rFonts w:ascii="Calibri" w:hAnsi="Calibri"/>
          <w:b w:val="0"/>
          <w:color w:val="3A4A28"/>
          <w:sz w:val="20"/>
        </w:rPr>
        <w:t>Analysts see 170%+ upside from current levels, suggesting consensus believes the GAAP losses are temporary and KUBRA integration will normalize profitability over 2026-2027</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 of 164.7% after KUBRA financing limits balance-sheet flexibility and increases vulnerability to interest rate movements or revenue shortfalls, with $242.7M of 2025 goodwill impairment demonstrating the cost of past acquisition overpayment</w:t>
      </w:r>
    </w:p>
    <w:p>
      <w:pPr>
        <w:spacing w:before="40" w:after="40"/>
        <w:ind w:left="283"/>
      </w:pPr>
      <w:r>
        <w:rPr>
          <w:rFonts w:ascii="Calibri" w:hAnsi="Calibri"/>
          <w:b/>
          <w:color w:val="4A6B25"/>
          <w:sz w:val="20"/>
        </w:rPr>
        <w:t xml:space="preserve">2. </w:t>
      </w:r>
      <w:r>
        <w:rPr>
          <w:rFonts w:ascii="Calibri" w:hAnsi="Calibri"/>
          <w:b w:val="0"/>
          <w:color w:val="3A4A28"/>
          <w:sz w:val="20"/>
        </w:rPr>
        <w:t>GAAP profit margin of -49.6% and ROE of -31.8% show the company remains deeply unprofitable on a reported basis — adjusted EBITDA margins (~42%) are healthy but non-cash charges from acquisitions distort the true economic picture [5]</w:t>
      </w:r>
    </w:p>
    <w:p>
      <w:pPr>
        <w:spacing w:before="40" w:after="40"/>
        <w:ind w:left="283"/>
      </w:pPr>
      <w:r>
        <w:rPr>
          <w:rFonts w:ascii="Calibri" w:hAnsi="Calibri"/>
          <w:b/>
          <w:color w:val="4A6B25"/>
          <w:sz w:val="20"/>
        </w:rPr>
        <w:t xml:space="preserve">3. </w:t>
      </w:r>
      <w:r>
        <w:rPr>
          <w:rFonts w:ascii="Calibri" w:hAnsi="Calibri"/>
          <w:b w:val="0"/>
          <w:color w:val="3A4A28"/>
          <w:sz w:val="20"/>
        </w:rPr>
        <w:t>Co-founder departure (Shaler Alias, February 2026), new CFO (September 2025), and 51% Glassdoor recommendation rate signal organizational strain during a critical integration period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NEUTRAL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RPAY's deep vertical integrations with 352 software partners across compliance-heavy niches (personal lending, auto finance, healthcare receivables, now utility billing via KUBRA) create real switching costs that partially insulate it from generic AI-driven payment disintermediation [2]. Vertical payment integrations require domain-specific regulatory knowledge and technical connections that AI alone cannot replicate. However, core card/ACH processing rails remain subject to broader industry commoditization as AI-enabled agentic commerce and low-cost alternatives emerge. No specific analyst commentary flags near-term AI displacement risk, but RPAY has not articulated a clear AI-defensive strategy. AI Opportunity (0/1): Fraud detection and compliance tools are described qualitatively but no quantified AI-related revenue or cost savings were disclosed.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REPAY Q1 2026 Financial Results and Raised 2026 Outlook — investors.repay.com, TipRanks, May 2026</w:t>
      </w:r>
    </w:p>
    <w:p>
      <w:pPr>
        <w:spacing w:before="20" w:after="20"/>
        <w:ind w:left="170"/>
      </w:pPr>
      <w:r>
        <w:rPr>
          <w:rFonts w:ascii="Calibri" w:hAnsi="Calibri"/>
          <w:b/>
          <w:color w:val="4A6B25"/>
          <w:sz w:val="15"/>
        </w:rPr>
        <w:t xml:space="preserve">2. </w:t>
      </w:r>
      <w:r>
        <w:rPr>
          <w:rFonts w:ascii="Calibri" w:hAnsi="Calibri"/>
          <w:b w:val="0"/>
          <w:color w:val="3A4A28"/>
          <w:sz w:val="17"/>
        </w:rPr>
        <w:t>REPAY Q2 2026 Financial Results and KUBRA Integration Update — investors.repay.com, Yahoo Finance, August 2026</w:t>
      </w:r>
    </w:p>
    <w:p>
      <w:pPr>
        <w:spacing w:before="20" w:after="20"/>
        <w:ind w:left="170"/>
      </w:pPr>
      <w:r>
        <w:rPr>
          <w:rFonts w:ascii="Calibri" w:hAnsi="Calibri"/>
          <w:b/>
          <w:color w:val="4A6B25"/>
          <w:sz w:val="15"/>
        </w:rPr>
        <w:t xml:space="preserve">3. </w:t>
      </w:r>
      <w:r>
        <w:rPr>
          <w:rFonts w:ascii="Calibri" w:hAnsi="Calibri"/>
          <w:b w:val="0"/>
          <w:color w:val="3A4A28"/>
          <w:sz w:val="17"/>
        </w:rPr>
        <w:t>REPAY Employee Reviews and Leadership Changes — Glassdoor, investors.repay.com,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REPAY Corporate Sustainability Report — repay.com, responsibilityreports.com,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RPAY key statistics,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