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RPD</w:t>
      </w:r>
      <w:r>
        <w:rPr>
          <w:rFonts w:ascii="Calibri" w:hAnsi="Calibri"/>
          <w:b/>
          <w:color w:val="1A2010"/>
          <w:sz w:val="40"/>
        </w:rPr>
        <w:t xml:space="preserve">  Rapid7, Inc.</w:t>
      </w:r>
    </w:p>
    <w:p>
      <w:pPr>
        <w:spacing w:after="120"/>
      </w:pPr>
      <w:r>
        <w:rPr>
          <w:rFonts w:ascii="Calibri" w:hAnsi="Calibri"/>
          <w:b/>
          <w:color w:val="6E8450"/>
          <w:sz w:val="18"/>
        </w:rPr>
        <w:t>GROWTH SLEEVE · 2026-09-14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Cybersecurity · NASDAQ · United States</w:t>
      </w:r>
    </w:p>
    <w:p>
      <w:pPr>
        <w:spacing w:after="80"/>
      </w:pPr>
      <w:r>
        <w:rPr>
          <w:rFonts w:ascii="Calibri" w:hAnsi="Calibri"/>
          <w:b w:val="0"/>
          <w:color w:val="3A4A28"/>
          <w:sz w:val="20"/>
        </w:rPr>
        <w:t>Rapid7 provides cloud-native cybersecurity solutions including vulnerability management (InsightVM), detection and response (InsightIDR), and managed detection and response (MDR) services through its Command Platform, serving over 11,000 customers globally. In June 2026, long-time CEO Corey Thomas transitioned to Executive Chairman focused on AI strategy, with Wael Mohamed assuming CEO responsibilities. ARR declined to $824M in Q2 2026 — the first sustained YoY contraction in company history — while the company pivots toward an AI-first SecOps platform and profitability optimization, guiding to $130M in full-year free cash flow.</w:t>
      </w:r>
    </w:p>
    <w:p>
      <w:r>
        <w:rPr>
          <w:rFonts w:ascii="Calibri" w:hAnsi="Calibri"/>
          <w:b/>
          <w:color w:val="6E8450"/>
          <w:sz w:val="18"/>
        </w:rPr>
        <w:t>2,200 Employees · https://www.rapid7.com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Rapid7 consolidated its product portfolio into the unified Command Platform and launched Exposure Command, Surface Command, and Vector Command, but revenue stalled — Q2 2026 revenue of $210.9M declined 1.5% YoY and FY2026 guidance of $837-841M implies continued contraction, suggesting recent launches have not driven incremental demand [1][2]. The Kenzo Security acquisition (agentic AI platform) remains incremental rather than transformative. AI Deployment (1/2): The company acquired Kenzo Security's agentic AI platform and is building AI-SOC capabilities with an agentic AI initiative, but no specific AI-driven revenue or quantified cost savings have been disclosed through Q2 2026 [3]. CEO Mohamed has positioned AI SOC as the strategic priority. Market Share (1/2): Rapid7 holds a meaningful mid-market cybersecurity position with 11,000+ customers, but ARR contracted to $824M while CrowdStrike ($4B+ ARR) and Palo Alto Networks ($5B+ ARR) grow double digits — the company is losing share in cloud security and MDR [2]. Product Pipeline (1/2): The AI-SOC strategy and Kenzo integration provide strategic direction with detection and response ARR (~55% of total) still growing ~5% YoY, but no specific next-gen product launches with dates or revenue targets have been announced [2][3]. R&amp;D Intensity (1/1): Rapid7 maintains R&amp;D spending of approximately 20-25% of revenue, above the software industry average, supporting platform development and AI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Rapid7's mission of democratizing cybersecurity — making security accessible to organizations beyond those with large dedicated teams — is clear and identifies the company's purpose but is not distinctive enough to differentiate from any cybersecurity peer [5]. Community Impact (1/2): The company publishes an annual Social Good Report, joined the UN Global Compact, committed to carbon neutrality, and maintains philanthropic programs — general corporate philanthropy without distinctive community investment at scale [5]. Employee Retention (0/2): Glassdoor rating declined to 3.4/5 with employees citing cultural disruption from wholesale leadership changes — new CEO, CFO, CCO, CPTO all replaced within 12 months — and reviews noting leadership 'translated company failures as entirely a People problem' [3]. Insider Buying (1/2): CEO Corey Thomas purchased ~$200K in shares at $13.82/share, and total insider buying of $15.1M exceeded selling of $4.4M over the trailing period, though more recent data shows $8.3M in insider selling, creating mixed conviction signals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extremely low forward P/E of 7.52x and PEG of 0.26x drive the score, reflecting severe market repricing (-61% over 52 weeks) that creates deep value on non-GAAP earnings [4]. ROE of 19.7% exceeds the 15% target, scoring 1.0 at 2x weight. The estimated 5-year revenue CAGR of ~10% hits target at 2x weight, reflecting strong historical growth before the recent stall. Forward PEG of 0.26x scores maximum at 2x weight. However, D/E of 552% from $965M in convertible note debt against ~$175M equity scores 0.0 (above 300% floor), and GAAP profit margin of 2.61% scores only 0.13 [4]. Revenue growth YoY of -1.5% scores 0.617 on interpolation. Q2 2026 delivered $31.9M free cash flow with $670M total liquidity [2]. Liquidity check: 4,531,458 avg volume x $11.61 = $52.6M daily — passes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Rapid7 under its leadership transition exhibits predominantly finite game characteristics — optimizing for near-term survival and profitability rather than advancing an enduring cause. The wholesale leadership refresh (CEO, CFO, CCO, CPTO all replaced within 12 months) and pivot to AI SOC were reactive to competitive deterioration and a 61% stock decline, not proactive advances of a long-term vision. Corey Thomas's 12+ years of leadership continuity provides some institutional memory as Executive Chairman, but the operational shift to financial optimization over growth investment reflects finite-game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Rapid7's purpose of democratizing cybersecurity is functional but reads as a business description rather than an inspiring vision of a better future. Corey Thomas embodied this mission for 12+ years, but his transition to Executive Chairman while an operator (Mohamed) runs the business raises questions about whether the cause will survive — precisely the test a Just Cause must pass [3]. The pivot to AI SOC strategy represents the latest strategic repositioning, suggesting purpose follows market pressure rather than guiding 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ratings declined to 3.4/5, with employees explicitly citing cultural deterioration from wholesale leadership changes — 'new senior and executive leadership translated company failures as entirely a People problem' [3]. Four C-suite positions (CEO, CFO, CCO, CPTO) were replaced within 12 months, creating organizational instability inconsistent with psychological safety. The cultural disruption during the most critical competitive period in cybersecurity undermines the trust foundation needed for a transformation.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recent management communications. Competitive positioning focuses on product capabilities and 'preempting attackers at machine speed' rather than learning from CrowdStrike's or Palo Alto Networks' strengths [3]. The company frames competition as a market share battle to survive rather than an opportunity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traditional vulnerability management toward an AI-powered SOC with the Kenzo Security acquisition represents meaningful strategic adaptation [3]. Detection and response ARR now constitutes 55% of total and is the only growing segment at ~5% YoY, showing the company can shift its center of gravity [2]. However, this is incremental evolution of the existing security platform rather than a transformative reinvention — the core customer base and market segment remain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accept near-term revenue contraction (-1.5% YoY) while investing in the AI-SOC pivot and restructuring operations toward $130M in free cash flow demonstrates some willingness to sacrifice current growth for future positioning [2]. However, the restructuring appears driven by competitive necessity — ARR is declining because the market is forcing change — rather than proactive leadership choosing to invest ahead of the curve. Cost discipline (non-GAAP operating margin expanding to 15.6%) reflects optimization more than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Rapid7 at 7.52x forward earnings and 0.26x PEG offers deep value in cybersecurity — a sector with durable secular demand driven by escalating AI-generated threats and regulatory compliance requirements. Q2 2026 delivered $31.9M in free cash flow (15.1% margin) and full-year guidance of ~$130M FCF (~15.5% margin) demonstrates the profitability pivot is working, with non-GAAP operating income of $28.9M (13.7% margin) expanding sequentially [2]. The $824M ARR base provides recurring revenue visibility, with detection and response (~55% of ARR) still growing ~5% YoY. At a ~$700M market cap, the ~18.6% FCF yield is compelling if the revenue base stabilizes. Insider buying of $15.1M by CEO Thomas and directors signals leadership conviction [4].</w:t>
      </w:r>
    </w:p>
    <w:p>
      <w:pPr>
        <w:spacing w:after="120"/>
      </w:pPr>
      <w:r>
        <w:rPr>
          <w:rFonts w:ascii="Calibri" w:hAnsi="Calibri"/>
          <w:b w:val="0"/>
          <w:color w:val="3A4A28"/>
          <w:sz w:val="20"/>
        </w:rPr>
        <w:t>The bear case is severe: ARR declined to $824M from $837M a year ago, and Q3 guidance of ~$812M implies continued contraction through year-end — signaling persistent competitive displacement by CrowdStrike and Palo Alto Networks who grow 15-30% while Rapid7 shrinks [2]. D/E of 552% from $965M in convertible note debt against $670M cash creates refinancing risk if the turnaround stalls [4]. Wholesale C-suite turnover (CEO, CFO, CCO, CPTO replaced within 12 months) and declining Glassdoor ratings (3.4/5) risk talent attrition during the AI-SOC pivot that requires deep technical execution [3]. GAAP profit margin of just 2.61% exposes the gap between non-GAAP presentation and actual profitability — stock-based compensation and amortization consume most of the operating income. The Inspire Impact Score of -49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AI-SOC platform powered by Kenzo Security's agentic AI could differentiate Rapid7's MDR offering and stabilize ARR if autonomous investigation capabilities demonstrate measurable customer outcomes by H1 2027 [3]</w:t>
      </w:r>
    </w:p>
    <w:p>
      <w:pPr>
        <w:spacing w:before="40" w:after="40"/>
        <w:ind w:left="283"/>
      </w:pPr>
      <w:r>
        <w:rPr>
          <w:rFonts w:ascii="Calibri" w:hAnsi="Calibri"/>
          <w:b/>
          <w:color w:val="4A6B25"/>
          <w:sz w:val="20"/>
        </w:rPr>
        <w:t xml:space="preserve">2. </w:t>
      </w:r>
      <w:r>
        <w:rPr>
          <w:rFonts w:ascii="Calibri" w:hAnsi="Calibri"/>
          <w:b w:val="0"/>
          <w:color w:val="3A4A28"/>
          <w:sz w:val="20"/>
        </w:rPr>
        <w:t>Free cash flow of ~$130M annually (~18.6% FCF yield at $700M market cap) and forward P/E of 7.52x create substantial re-rating potential if ARR decline bottoms — detection and response segment still growing ~5% suggests a floor [2]</w:t>
      </w:r>
    </w:p>
    <w:p>
      <w:pPr>
        <w:spacing w:before="40" w:after="40"/>
        <w:ind w:left="283"/>
      </w:pPr>
      <w:r>
        <w:rPr>
          <w:rFonts w:ascii="Calibri" w:hAnsi="Calibri"/>
          <w:b/>
          <w:color w:val="4A6B25"/>
          <w:sz w:val="20"/>
        </w:rPr>
        <w:t xml:space="preserve">3. </w:t>
      </w:r>
      <w:r>
        <w:rPr>
          <w:rFonts w:ascii="Calibri" w:hAnsi="Calibri"/>
          <w:b w:val="0"/>
          <w:color w:val="3A4A28"/>
          <w:sz w:val="20"/>
        </w:rPr>
        <w:t>Escalating AI-powered cyber attacks and regulatory compliance mandates (SEC cyber disclosure rules, DORA in Europe) creating secular budget tailwinds that could lift mid-market security spending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ARR contracting from $837M to $824M to guided $812M signals accelerating competitive displacement by CrowdStrike and Palo Alto Networks — if core platform ARR (growing only ~1%) turns negative, the customer base is in structural decline [2]</w:t>
      </w:r>
    </w:p>
    <w:p>
      <w:pPr>
        <w:spacing w:before="40" w:after="40"/>
        <w:ind w:left="283"/>
      </w:pPr>
      <w:r>
        <w:rPr>
          <w:rFonts w:ascii="Calibri" w:hAnsi="Calibri"/>
          <w:b/>
          <w:color w:val="4A6B25"/>
          <w:sz w:val="20"/>
        </w:rPr>
        <w:t xml:space="preserve">2. </w:t>
      </w:r>
      <w:r>
        <w:rPr>
          <w:rFonts w:ascii="Calibri" w:hAnsi="Calibri"/>
          <w:b w:val="0"/>
          <w:color w:val="3A4A28"/>
          <w:sz w:val="20"/>
        </w:rPr>
        <w:t>Convertible note debt of $965M (D/E 552%) creates refinancing risk if the stock price remains below conversion prices — upcoming maturities could drain the $670M liquidity cushion and force dilutive capital raises [4]</w:t>
      </w:r>
    </w:p>
    <w:p>
      <w:pPr>
        <w:spacing w:before="40" w:after="40"/>
        <w:ind w:left="283"/>
      </w:pPr>
      <w:r>
        <w:rPr>
          <w:rFonts w:ascii="Calibri" w:hAnsi="Calibri"/>
          <w:b/>
          <w:color w:val="4A6B25"/>
          <w:sz w:val="20"/>
        </w:rPr>
        <w:t xml:space="preserve">3. </w:t>
      </w:r>
      <w:r>
        <w:rPr>
          <w:rFonts w:ascii="Calibri" w:hAnsi="Calibri"/>
          <w:b w:val="0"/>
          <w:color w:val="3A4A28"/>
          <w:sz w:val="20"/>
        </w:rPr>
        <w:t>Wholesale C-suite turnover and declining employee sentiment (Glassdoor 3.4/5) risk talent attrition during a period when execution on the AI-SOC transformation is existential to the company's competitive survival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Cybersecurity as an industry benefits from AI-driven threats — more sophisticated attacks require more protection, and regulatory compliance mandates are immune to AI substitution. However, Rapid7's specific position is exposed: larger competitors CrowdStrike and Palo Alto Networks are integrating AI capabilities faster and taking share, with Rapid7's ARR contraction to $824M evidence that AI-driven competitive displacement is already underway [2]. AI-native security startups and automated SOC tools could compress the managed detection and response services that Rapid7 monetizes. AI Opportunity (1/1): Rapid7 is actively building AI-powered security products — the AI-SOC initiative with Kenzo Security's agentic AI platform represents genuine AI product commercialization, and detection and response ARR (~55% of total, ~$453M) growing ~5% YoY includes AI-enhanced capabilities, though no separately quantified AI revenue has been disclosed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Rapid7 Q1 FY2026 Earnings Release — Revenue $210M (-0.3% YoY), ARR $832M, Non-GAAP Operating Income $24.4M, FCF $33.4M, May 2026</w:t>
      </w:r>
    </w:p>
    <w:p>
      <w:pPr>
        <w:spacing w:before="20" w:after="20"/>
        <w:ind w:left="170"/>
      </w:pPr>
      <w:r>
        <w:rPr>
          <w:rFonts w:ascii="Calibri" w:hAnsi="Calibri"/>
          <w:b/>
          <w:color w:val="4A6B25"/>
          <w:sz w:val="15"/>
        </w:rPr>
        <w:t xml:space="preserve">2. </w:t>
      </w:r>
      <w:r>
        <w:rPr>
          <w:rFonts w:ascii="Calibri" w:hAnsi="Calibri"/>
          <w:b w:val="0"/>
          <w:color w:val="3A4A28"/>
          <w:sz w:val="17"/>
        </w:rPr>
        <w:t>Rapid7 Q2 FY2026 Earnings Release — Revenue $210.9M (-1.5% YoY), ARR $824M, Non-GAAP EPS $0.44, FCF $31.9M, Full-Year Guidance Revenue $837-841M, FCF ~$130M, Q3 ARR ~$812M, August 2026</w:t>
      </w:r>
    </w:p>
    <w:p>
      <w:pPr>
        <w:spacing w:before="20" w:after="20"/>
        <w:ind w:left="170"/>
      </w:pPr>
      <w:r>
        <w:rPr>
          <w:rFonts w:ascii="Calibri" w:hAnsi="Calibri"/>
          <w:b/>
          <w:color w:val="4A6B25"/>
          <w:sz w:val="15"/>
        </w:rPr>
        <w:t xml:space="preserve">3. </w:t>
      </w:r>
      <w:r>
        <w:rPr>
          <w:rFonts w:ascii="Calibri" w:hAnsi="Calibri"/>
          <w:b w:val="0"/>
          <w:color w:val="3A4A28"/>
          <w:sz w:val="17"/>
        </w:rPr>
        <w:t>Rapid7 Leadership Transition and AI Strategy — Thomas to Executive Chairman, Mohamed CEO (June 2026), Kenzo Security Acquisition, AI-SOC Platform — Company Reports, Glassdoor, Built In,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RPD Key Statistics: Forward P/E 7.52x, PEG 0.26x, ROE 19.7%, D/E 552%, Stock Price $11.61, Avg Volume 4.5M, Insider Trading Activity,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Rapid7 Social Good Report, UN Global Compact Membership, Carbon Neutrality Commitment — Company ESG Disclosures,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