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RSI</w:t>
      </w:r>
      <w:r>
        <w:rPr>
          <w:rFonts w:ascii="Calibri" w:hAnsi="Calibri"/>
          <w:b/>
          <w:color w:val="1A2010"/>
          <w:sz w:val="40"/>
        </w:rPr>
        <w:t xml:space="preserve">  Rush Street Interactive, Inc.</w:t>
      </w:r>
    </w:p>
    <w:p>
      <w:pPr>
        <w:spacing w:after="120"/>
      </w:pPr>
      <w:r>
        <w:rPr>
          <w:rFonts w:ascii="Calibri" w:hAnsi="Calibri"/>
          <w:b/>
          <w:color w:val="6E8450"/>
          <w:sz w:val="18"/>
        </w:rPr>
        <w:t>GROWTH SLEEVE · 2026-09-12 · Inspire: -1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Gambling · NYSE · United States</w:t>
      </w:r>
    </w:p>
    <w:p>
      <w:pPr>
        <w:spacing w:after="80"/>
      </w:pPr>
      <w:r>
        <w:rPr>
          <w:rFonts w:ascii="Calibri" w:hAnsi="Calibri"/>
          <w:b w:val="0"/>
          <w:color w:val="3A4A28"/>
          <w:sz w:val="20"/>
        </w:rPr>
        <w:t>Rush Street Interactive, Inc. develops, supplies, and operates regulated online casino (iCasino) and sports betting platforms under the BetRivers and PlaySugarHouse brands across the United States, Canada, and Latin America. Co-founded and led by CEO Richard Schwartz since 2012 (inventor on 50 patents), the company is headquartered in Chicago, Illinois. Q2 2026 delivered record revenue of $393.8M (+46% YoY) and record net income of $29.3M, with 949K monthly active users (+58% YoY) [1]. Management raised full-year 2026 guidance to $1,560-1,600M revenue (+38-41%) and $245-265M Adjusted EBITDA (+59-72%) [2]. Kyle Sauers serves as President/CFO and Shubham Tyagi was appointed CTO [3].</w:t>
      </w:r>
    </w:p>
    <w:p>
      <w:r>
        <w:rPr>
          <w:rFonts w:ascii="Calibri" w:hAnsi="Calibri"/>
          <w:b/>
          <w:color w:val="6E8450"/>
          <w:sz w:val="18"/>
        </w:rPr>
        <w:t>912 Employees · https://www.rushstreetinteractive.com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RSI has driven record results through disciplined execution — Q2 2026 revenue of $393.8M (+46% YoY), net income of $29.3M (record), and 949K MAUs (+58%) — anchored by accelerating Latin American expansion (Mexico, Colombia) and North American iCasino share gains, built on a proprietary technology stack rather than third-party platforms [1][2]. The raised full-year guidance to $1,560-1,600M revenue (+38-41%) represents a significant beat-and-raise trajectory. AI Deployment (1/2): CEO Schwartz frames innovation and personalization as central to efficient acquisition and retention, RSI uses AI-driven personalization and is evaluating AI for suspicious-bet monitoring, and Schwartz holds 50 patents — but no specific quantified AI cost savings or dedicated AI product was cited [3]. Market Share (2/2): Management cited 'faster-than-expected growth in North American iCasino market share' as a driver of the guidance raise, with 949K MAUs up 58% YoY and LatAm MAUs up 54% YoY — the fastest share gainer in its category [1][2]. Product Pipeline (0/2): No specific named next-generation product with a firm launch date was identified beyond continued market expansion. R&amp;D Intensity (0/1): No R&amp;D-as-%-of-revenue data was found, though the CTO appointment and 50 patents suggest meaningful technology investment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RSI's stated commitment to 'transparency, honesty, and fairness' with a strong responsible-gaming emphasis is clear and industry-relevant, and the company's about page emphasizes a collaborative culture 'where every voice can be heard' — but this framing is fairly standard across regulated gaming operators [3]. Community Impact (2/2): RSI was the first U.S.-based online casino/sportsbook operator to receive RG Check iGaming Accreditation from the Responsible Gambling Council, has been a National Council on Problem Gambling member since 2019, and the Rush Street Gaming Des Plaines property was the first casino in the world to be LEED certified [5]. Employee Retention (1/2): The October 2025 promotion of CFO Kyle Sauers to President reflects internal talent development, with CEO Schwartz citing Sauers' 'collaborative style,' and the company describes itself as 'one big work family' with open access to leadership — but no tenure or turnover statistics were found [3]. Insider Buying (0/2): CEO Schwartz has been a persistent net seller via 10b5-1 plans, with no offsetting open-market purchases identified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sleeve — no dividend; liquidity floor not triggered: 1,850,000 avg daily volume x $26.65 = ~$49.3M) [4]. RSI's balance sheet is exceptionally strong — D/E of just 0.02 (2%) and a net cash position of $340.27M against minimal debt — while ROE of 30.28% comfortably clears the 15% target [4]. Revenue growth has accelerated dramatically: Q2 2026 revenue surged 46% YoY to $393.8M (record), Q1 grew 41%, and full-year guidance of $1,560-1,600M represents 38-41% growth, all well above the 10% target [1][2]. The 5yr revenue CAGR of 27.1% far exceeds target. Forward P/E of 35.14 is elevated but represents meaningful improvement from prior levels as profitability scales, and the 2.33% profit margin remains the primary drag — though Q2 margin of 7.4% ($29.3M net income on $393.8M revenue) shows the trajectory toward sustainable profitability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Rush Street has built genuine, industry-leading responsible-gaming infrastructure (first RG Check accreditation, first LEED-certified casino), 14 years of founder-CEO continuity, and a deliberate casino-first strategy that avoids a head-to-head marketing war with larger sports-betting rivals — real evidence of infinite-minded positioning [3][5]. That is offset by CEO Schwartz's persistent, sizable net insider selling and the inherently finite, consumer-spend-extraction nature of the gambling category.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RSI's transparency/fairness/responsible-gaming commitments are genuinely lived out (first RG Check accreditation, NCPG membership since 2019, first LEED-certified casino) but operate within an inherently finite, consumer-spend-extraction business category, falling short of a resilient, field-defining Just Cause [3][5].</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Founder-CEO Schwartz has led RSI continuously since its 2012 founding, and the promotion of Sauers to President and appointment of CTO Tyagi signal internal development and leadership depth [3]. The company's stated culture of 'one big work family' with 'every employee having real access to leadership' suggests trust, but the 912-employee workforce provides no external validation data.</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Rather than trying to outspend DraftKings and FanDuel in the sports-betting marketing arms race, RSI has deliberately positioned itself as a casino-first operator — an explicit acknowledgment of larger rivals' strength in sports betting and a choice to compete on a different, higher-margin dimension rather than a head-on share war [1][2]. This is a textbook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RSI's expansion from U.S.-only into Mexico and Colombia, and its strategic mix-shift toward higher-margin iCasino from sports betting, represent real geographic and product diversification — incremental expansion rather than a fundamental business-model reinvention, but driven by strategic choice rather than desperation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Continued investment in Latin American market entry, expanded responsible-gaming systems, and appointment of a dedicated CTO even as CEO Schwartz's persistent net share selling ($4.35M, $1.99M, $4.94M across 2026 transactions alone) undercuts the conviction signal [3][4]. The casino-first strategy required walking away from the sports-betting marketing arms race, a courageous competitive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Rush Street Interactive delivered record Q2 2026 results — revenue of $393.8M (+46% YoY), net income of $29.3M (record), and Adjusted EBITDA of $64.6M (+61%) — and raised full-year 2026 guidance to $1,560-1,600M revenue (+38-41%) and $245-265M Adjusted EBITDA (+59-72%), driven by North American iCasino share gains (949K MAUs, +58% YoY) and accelerating Latin American growth [1][2]. The balance sheet is pristine with D/E of 0.02 and $340M net cash, ROE of 30.28% reflects emerging profitability at scale, and the 5yr revenue CAGR of 27.1% demonstrates sustained hypergrowth [4]. The casino-first competitive positioning (avoiding the DraftKings/FanDuel marketing war) and industry-leading responsible-gaming credentials (first RG Check accreditation, first LEED-certified casino) provide differentiation in a commoditizing market [5].</w:t>
      </w:r>
    </w:p>
    <w:p>
      <w:pPr>
        <w:spacing w:after="120"/>
      </w:pPr>
      <w:r>
        <w:rPr>
          <w:rFonts w:ascii="Calibri" w:hAnsi="Calibri"/>
          <w:b w:val="0"/>
          <w:color w:val="3A4A28"/>
          <w:sz w:val="20"/>
        </w:rPr>
        <w:t>Valuation remains demanding — a 194x trailing and 35x forward P/E price in years of continued 30%+ growth, and while Q2's 7.4% net margin shows the profit trajectory, TTM profit margin of 2.33% means execution risk is high [4]. CEO Schwartz has been a persistent net seller of stock (over $11M in three 2026 transactions alone with zero purchases), a pattern that undercuts the insider conviction narrative [4]. The Inspire Insight score of -1 (MIXED) with a 'Gambling' negative attribution will disqualify RSI for many values-based mandates regardless of financial performance. International execution risk is real: Colombia's 2025 tax-framework change cut an estimated $70M of revenue and $25-30M of EBITDA, a reminder that regulatory regimes in emerging markets can shift unpredictably. Competition from DraftKings and FanDuel with deeper marketing budgets remains a long-term threat, particularly as those operators expand into iCasino — RSI's core competitive advantage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guidance raised to $1,560-1,600M revenue (+38-41%) on North American iCasino share gains and Latin American momentum (949K MAUs, +58% YoY), with potential for further beat-and-raise quarters [1][2]</w:t>
      </w:r>
    </w:p>
    <w:p>
      <w:pPr>
        <w:spacing w:before="40" w:after="40"/>
        <w:ind w:left="283"/>
      </w:pPr>
      <w:r>
        <w:rPr>
          <w:rFonts w:ascii="Calibri" w:hAnsi="Calibri"/>
          <w:b/>
          <w:color w:val="4A6B25"/>
          <w:sz w:val="20"/>
        </w:rPr>
        <w:t xml:space="preserve">2. </w:t>
      </w:r>
      <w:r>
        <w:rPr>
          <w:rFonts w:ascii="Calibri" w:hAnsi="Calibri"/>
          <w:b w:val="0"/>
          <w:color w:val="3A4A28"/>
          <w:sz w:val="20"/>
        </w:rPr>
        <w:t>Margin expansion as Q2 net margin of 7.4% ($29.3M net income) demonstrates the path to sustainable profitability, with Adjusted EBITDA guided at $245-265M (+59-72%) [1][2]</w:t>
      </w:r>
    </w:p>
    <w:p>
      <w:pPr>
        <w:spacing w:before="40" w:after="40"/>
        <w:ind w:left="283"/>
      </w:pPr>
      <w:r>
        <w:rPr>
          <w:rFonts w:ascii="Calibri" w:hAnsi="Calibri"/>
          <w:b/>
          <w:color w:val="4A6B25"/>
          <w:sz w:val="20"/>
        </w:rPr>
        <w:t xml:space="preserve">3. </w:t>
      </w:r>
      <w:r>
        <w:rPr>
          <w:rFonts w:ascii="Calibri" w:hAnsi="Calibri"/>
          <w:b w:val="0"/>
          <w:color w:val="3A4A28"/>
          <w:sz w:val="20"/>
        </w:rPr>
        <w:t>Continued Latin American expansion and state-by-state U.S. legalization providing multi-year growth runway, with the casino-first strategy capturing higher-margin iCasino share vs. sports betting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194x trailing / 35x forward P/E valuation leaves little room for error if the 38-41% revenue growth rate decelerates, and CEO Schwartz's persistent insider selling (over $11M in 2026) raises questions about conviction at current levels [4]</w:t>
      </w:r>
    </w:p>
    <w:p>
      <w:pPr>
        <w:spacing w:before="40" w:after="40"/>
        <w:ind w:left="283"/>
      </w:pPr>
      <w:r>
        <w:rPr>
          <w:rFonts w:ascii="Calibri" w:hAnsi="Calibri"/>
          <w:b/>
          <w:color w:val="4A6B25"/>
          <w:sz w:val="20"/>
        </w:rPr>
        <w:t xml:space="preserve">2. </w:t>
      </w:r>
      <w:r>
        <w:rPr>
          <w:rFonts w:ascii="Calibri" w:hAnsi="Calibri"/>
          <w:b w:val="0"/>
          <w:color w:val="3A4A28"/>
          <w:sz w:val="20"/>
        </w:rPr>
        <w:t>Regulatory and tax risk is already material — Colombia's 2025 tax framework change cut approximately $70M of revenue and $25-30M of EBITDA — and a 'Gambling' Inspire Insight attribution limits the addressable values-aligned investor base</w:t>
      </w:r>
    </w:p>
    <w:p>
      <w:pPr>
        <w:spacing w:before="40" w:after="40"/>
        <w:ind w:left="283"/>
      </w:pPr>
      <w:r>
        <w:rPr>
          <w:rFonts w:ascii="Calibri" w:hAnsi="Calibri"/>
          <w:b/>
          <w:color w:val="4A6B25"/>
          <w:sz w:val="20"/>
        </w:rPr>
        <w:t xml:space="preserve">3. </w:t>
      </w:r>
      <w:r>
        <w:rPr>
          <w:rFonts w:ascii="Calibri" w:hAnsi="Calibri"/>
          <w:b w:val="0"/>
          <w:color w:val="3A4A28"/>
          <w:sz w:val="20"/>
        </w:rPr>
        <w:t>Competition from DraftKings and FanDuel expanding into iCasino could erode RSI's core competitive advantage, particularly as those operators leverage deeper marketing budgets and larger user bases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RSI's regulated market-access licenses, established player relationships, and proprietary player-behavior data create real moats against disintermediation, and the company is more likely to deploy AI (fraud detection, personalization, dynamic odds, suspicious-bet monitoring) than be displaced by it [3]. However, online gaming is a software-and-data business rather than a physical-world operation, so a well-capitalized AI-native entrant into regulated online betting remains a longer-term structural risk that keeps this out of the top Immune tier. No analyst commentary was found flagging near-term AI disruption to RSI specifically. AI Opportunity (0/1): AI-driven personalization and bet monitoring are referenced qualitatively as growth drivers, but no distinct, quantified AI revenue figure was cited — these are operational tools rather than a separate revenue stream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Rush Street Interactive Q2 2026 Results — Record Revenue $393.8M (+46% YoY), Record Net Income $29.3M, Adjusted EBITDA $64.6M (+61%), 949K MAUs (+58%), SEC 8-K / ir.rushstreetinteractive.com, July 2026</w:t>
      </w:r>
    </w:p>
    <w:p>
      <w:pPr>
        <w:spacing w:before="20" w:after="20"/>
        <w:ind w:left="170"/>
      </w:pPr>
      <w:r>
        <w:rPr>
          <w:rFonts w:ascii="Calibri" w:hAnsi="Calibri"/>
          <w:b/>
          <w:color w:val="4A6B25"/>
          <w:sz w:val="15"/>
        </w:rPr>
        <w:t xml:space="preserve">2. </w:t>
      </w:r>
      <w:r>
        <w:rPr>
          <w:rFonts w:ascii="Calibri" w:hAnsi="Calibri"/>
          <w:b w:val="0"/>
          <w:color w:val="3A4A28"/>
          <w:sz w:val="17"/>
        </w:rPr>
        <w:t>Rush Street Interactive FY2026 Raised Guidance — Revenue $1,560-1,600M (+38-41%), Adjusted EBITDA $245-265M (+59-72%), SEC 8-K, July 2026</w:t>
      </w:r>
    </w:p>
    <w:p>
      <w:pPr>
        <w:spacing w:before="20" w:after="20"/>
        <w:ind w:left="170"/>
      </w:pPr>
      <w:r>
        <w:rPr>
          <w:rFonts w:ascii="Calibri" w:hAnsi="Calibri"/>
          <w:b/>
          <w:color w:val="4A6B25"/>
          <w:sz w:val="15"/>
        </w:rPr>
        <w:t xml:space="preserve">3. </w:t>
      </w:r>
      <w:r>
        <w:rPr>
          <w:rFonts w:ascii="Calibri" w:hAnsi="Calibri"/>
          <w:b w:val="0"/>
          <w:color w:val="3A4A28"/>
          <w:sz w:val="17"/>
        </w:rPr>
        <w:t>Rush Street Interactive Leadership and Culture — CEO Richard Schwartz (co-founder, 50 patents), President/CFO Kyle Sauers, CTO Shubham Tyagi, rushstreetinteractive.com / Built In,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RSI Key Statistics: Forward P/E 35.14, ROE 30.28%, D/E 0.02, Profit Margin 2.33%, Stock Price $26.65, Avg Volume 1.85M,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Rush Street Interactive Responsible Gaming and ESG — First U.S. iGaming RG Check Accreditation, NCPG Member Since 2019, First LEED-Certified Casino (Des Plaines), American Gaming Association,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