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drawing>
          <wp:inline xmlns:a="http://schemas.openxmlformats.org/drawingml/2006/main" xmlns:pic="http://schemas.openxmlformats.org/drawingml/2006/picture">
            <wp:extent cx="1371600" cy="723227"/>
            <wp:docPr id="1" name="Picture 1"/>
            <wp:cNvGraphicFramePr>
              <a:graphicFrameLocks noChangeAspect="1"/>
            </wp:cNvGraphicFramePr>
            <a:graphic>
              <a:graphicData uri="http://schemas.openxmlformats.org/drawingml/2006/picture">
                <pic:pic>
                  <pic:nvPicPr>
                    <pic:cNvPr id="0" name="image.png"/>
                    <pic:cNvPicPr/>
                  </pic:nvPicPr>
                  <pic:blipFill>
                    <a:blip r:embed="rId9"/>
                    <a:stretch>
                      <a:fillRect/>
                    </a:stretch>
                  </pic:blipFill>
                  <pic:spPr>
                    <a:xfrm>
                      <a:off x="0" y="0"/>
                      <a:ext cx="1371600" cy="723227"/>
                    </a:xfrm>
                    <a:prstGeom prst="rect"/>
                  </pic:spPr>
                </pic:pic>
              </a:graphicData>
            </a:graphic>
          </wp:inline>
        </w:drawing>
      </w:r>
    </w:p>
    <w:p>
      <w:pPr>
        <w:spacing w:before="120" w:after="40"/>
      </w:pPr>
      <w:r>
        <w:rPr>
          <w:rFonts w:ascii="Calibri" w:hAnsi="Calibri"/>
          <w:b/>
          <w:color w:val="4A6B25"/>
          <w:sz w:val="56"/>
        </w:rPr>
        <w:t>RTX</w:t>
      </w:r>
      <w:r>
        <w:rPr>
          <w:rFonts w:ascii="Calibri" w:hAnsi="Calibri"/>
          <w:b/>
          <w:color w:val="1A2010"/>
          <w:sz w:val="40"/>
        </w:rPr>
        <w:t xml:space="preserve">  RTX Corporation</w:t>
      </w:r>
    </w:p>
    <w:p>
      <w:pPr>
        <w:spacing w:after="120"/>
      </w:pPr>
      <w:r>
        <w:rPr>
          <w:rFonts w:ascii="Calibri" w:hAnsi="Calibri"/>
          <w:b/>
          <w:color w:val="6E8450"/>
          <w:sz w:val="18"/>
        </w:rPr>
        <w:t>GROWTH SLEEVE · 2026-10-16 · Inspire: -49 · MIXED</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1200" w:type="dxa"/>
      </w:tblPr>
      <w:tblGrid>
        <w:gridCol w:w="10800"/>
      </w:tblGrid>
      <w:tr>
        <w:tc>
          <w:tcPr>
            <w:tcW w:type="dxa" w:w="10800"/>
            <w:shd w:fill="FFF8E1" w:val="clear"/>
          </w:tcPr>
          <w:p>
            <w:pPr>
              <w:spacing w:before="40" w:after="40"/>
              <w:jc w:val="center"/>
            </w:pPr>
            <w:r>
              <w:rPr>
                <w:rFonts w:ascii="Calibri" w:hAnsi="Calibri"/>
                <w:b/>
                <w:color w:val="D97706"/>
                <w:sz w:val="20"/>
              </w:rPr>
              <w:t>HOLD</w:t>
            </w:r>
          </w:p>
        </w:tc>
      </w:tr>
    </w:tbl>
    <w:p>
      <w:pPr>
        <w:spacing w:before="120" w:after="200"/>
      </w:pPr>
      <w:r>
        <w:rPr>
          <w:rFonts w:ascii="Calibri" w:hAnsi="Calibri"/>
          <w:b/>
          <w:color w:val="1A2010"/>
          <w:sz w:val="80"/>
        </w:rPr>
        <w:t>68</w:t>
      </w:r>
      <w:r>
        <w:rPr>
          <w:rFonts w:ascii="Calibri" w:hAnsi="Calibri"/>
          <w:b w:val="0"/>
          <w:color w:val="9DAF88"/>
          <w:sz w:val="28"/>
        </w:rPr>
        <w:t xml:space="preserve"> / </w:t>
      </w:r>
      <w:r>
        <w:rPr>
          <w:rFonts w:ascii="Calibri" w:hAnsi="Calibri"/>
          <w:b w:val="0"/>
          <w:color w:val="9DAF88"/>
          <w:sz w:val="24"/>
        </w:rPr>
        <w:t>100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COMPANY PROFILE</w:t>
            </w:r>
          </w:p>
        </w:tc>
      </w:tr>
    </w:tbl>
    <w:p>
      <w:r>
        <w:rPr>
          <w:rFonts w:ascii="Calibri" w:hAnsi="Calibri"/>
          <w:b/>
          <w:color w:val="6E8450"/>
          <w:sz w:val="18"/>
        </w:rPr>
        <w:t>Industrials · Aerospace &amp; Defense · NYSE · United States</w:t>
      </w:r>
    </w:p>
    <w:p>
      <w:pPr>
        <w:spacing w:after="80"/>
      </w:pPr>
      <w:r>
        <w:rPr>
          <w:rFonts w:ascii="Calibri" w:hAnsi="Calibri"/>
          <w:b w:val="0"/>
          <w:color w:val="3A4A28"/>
          <w:sz w:val="20"/>
        </w:rPr>
        <w:t>RTX Corporation is one of the world's largest aerospace and defense companies, operating through three segments — Collins Aerospace (avionics, interiors, mission systems), Pratt &amp; Whitney (commercial and military jet engines), and Raytheon (missiles, defense electronics, cybersecurity). Q2 2026 revenue rose 14% to $24.71B with adjusted EPS of $1.89, beating consensus estimates of $22.89B revenue and $1.66 EPS [1]. Total backlog reached a record $289B (+22% YoY), including $170B commercial and $119B defense. Full-year 2026 guidance calls for adjusted EPS of $7.10-$7.25 on revenue of $95-96B [1][2].</w:t>
      </w:r>
    </w:p>
    <w:p>
      <w:r>
        <w:rPr>
          <w:rFonts w:ascii="Calibri" w:hAnsi="Calibri"/>
          <w:b/>
          <w:color w:val="6E8450"/>
          <w:sz w:val="18"/>
        </w:rPr>
        <w:t>185,000 Employees · https://www.rtx.com</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EXCELLENCE EVALUATION — THINK LIKE AN OWNER (50%)</w:t>
            </w:r>
          </w:p>
        </w:tc>
      </w:tr>
    </w:tbl>
    <w:p>
      <w:pPr>
        <w:spacing w:before="200" w:after="40"/>
      </w:pPr>
      <w:r>
        <w:rPr>
          <w:rFonts w:ascii="Calibri" w:hAnsi="Calibri"/>
          <w:b/>
          <w:color w:val="1A2010"/>
          <w:sz w:val="22"/>
        </w:rPr>
        <w:t>Innovation</w:t>
      </w:r>
      <w:r>
        <w:rPr>
          <w:rFonts w:ascii="Calibri" w:hAnsi="Calibri"/>
          <w:b w:val="0"/>
          <w:color w:val="1A2010"/>
          <w:sz w:val="22"/>
        </w:rPr>
        <w:t xml:space="preserve">  </w:t>
      </w:r>
      <w:r>
        <w:rPr>
          <w:rFonts w:ascii="Calibri" w:hAnsi="Calibri"/>
          <w:b/>
          <w:color w:val="B8860B"/>
          <w:sz w:val="16"/>
        </w:rPr>
        <w:t xml:space="preserve"> DEVELOPING </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Track Record (2/3): RTX completed the transformative Raytheon Technologies merger (2020) and subsequent restructuring that divested Otis Elevator and Carrier to create a focused A&amp;D company [1]. Pratt &amp; Whitney's geared turbofan (GTF) technology represents a generational engine breakthrough delivering 16-20% fuel savings over prior generation engines, though the powder metal contamination issue requiring inspections of thousands of engines was a significant setback. Raytheon has advanced hypersonic weapons, next-gen missile defense systems, and electronic warfare capabilities across active programs. AI Deployment (1/2): RTX deploys AI across defense applications including autonomous targeting, sensor fusion, predictive maintenance for jet engines, and electronic warfare systems in active military use. Raytheon's AI-enabled defense platforms are deployed by the U.S. military and allies, but specific AI revenue is not separately quantified [2]. Market Share (2/2): Raytheon is the #2 pure-play defense contractor globally. Pratt &amp; Whitney powers approximately 50% of the world's narrowbody fleet through the GTF engine. Collins Aerospace is a top-3 avionics and aircraft systems provider. Record backlog of $289B (+22% YoY) with $43B+ in new orders booked in Q2 alone demonstrates dominant market position [1][2]. Product Pipeline (1/2): Pipeline includes GEM-T Patriot effectors ($5B order), SM-3 Block IIA interceptors ($745M MDA contract), next-gen LRASM, F-135 engine upgrades, and classified programs [2]. However, specific timelines and revenue visibility for next-gen platforms are limited by classification, and the pipeline is primarily extensions of existing platforms rather than breakthrough new systems. R&amp;D Intensity (0/1): Company-funded R&amp;D as a percentage of revenue is modest relative to technology peers; defense R&amp;D is primarily government-funded through contract mechanisms rather than company-funded investment.</w:t>
      </w:r>
    </w:p>
    <w:p>
      <w:pPr>
        <w:spacing w:before="200" w:after="40"/>
      </w:pPr>
      <w:r>
        <w:rPr>
          <w:rFonts w:ascii="Calibri" w:hAnsi="Calibri"/>
          <w:b/>
          <w:color w:val="1A2010"/>
          <w:sz w:val="22"/>
        </w:rPr>
        <w:t>Inspiration</w:t>
      </w:r>
      <w:r>
        <w:rPr>
          <w:rFonts w:ascii="Calibri" w:hAnsi="Calibri"/>
          <w:b w:val="0"/>
          <w:color w:val="1A2010"/>
          <w:sz w:val="22"/>
        </w:rPr>
        <w:t xml:space="preserve">  </w:t>
      </w:r>
      <w:r>
        <w:rPr>
          <w:rFonts w:ascii="Calibri" w:hAnsi="Calibri"/>
          <w:b/>
          <w:color w:val="B8860B"/>
          <w:sz w:val="16"/>
        </w:rPr>
        <w:t xml:space="preserve"> DEVELOPING </w:t>
      </w:r>
    </w:p>
    <w:p>
      <w:pPr>
        <w:spacing w:before="0" w:after="40"/>
      </w:pPr>
      <w:r>
        <w:rPr>
          <w:rFonts w:ascii="Calibri" w:hAnsi="Calibri"/>
          <w:b/>
          <w:color w:val="B8860B"/>
          <w:sz w:val="28"/>
        </w:rPr>
        <w:t>4</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205"/>
            <w:shd w:fill="B8860B" w:val="clear"/>
          </w:tcPr>
          <w:p>
            <w:pPr>
              <w:spacing w:before="0" w:after="0"/>
            </w:pPr>
            <w:r>
              <w:rPr>
                <w:rFonts w:ascii="Calibri" w:hAnsi="Calibri"/>
                <w:b w:val="0"/>
                <w:color w:val="1A2010"/>
                <w:sz w:val="4"/>
              </w:rPr>
            </w:r>
          </w:p>
        </w:tc>
        <w:tc>
          <w:tcPr>
            <w:tcW w:type="dxa" w:w="3307"/>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Mission Floor (2/4): RTX's stated purpose is 'advancing aviation, building smarter defense systems and creating innovations to help our planet.' This connects the company's work to societal benefit — safer air travel, national security, technological progress — and differentiates somewhat from pure defense contractors through the aviation and environmental angle. However, it's not deeply distinctive; any major defense/aerospace company could articulate similar themes [3]. Community Impact (1/2): RTX maintains the RTX Foundation focused on STEM education, invests in veteran support organizations, and has community development programs across its major sites. The company's scale (185,000 employees) amplifies community impact, though specific dollar amounts for philanthropic activities were not verified in this research [4]. Employee Retention (1/2): Glassdoor ratings of 3.8/5 are in line with the aerospace and defense industry average (3.6). Some employees praise stability, benefits, and funded backlog visibility, but post-merger integration has created leadership turnover and organizational friction in certain business units [3]. CEO Christopher Calio's approval rating of 60-62% is adequate but not exceptional. Insider Buying (0/2): No evidence of meaningful net insider buying by Calio or senior executives in the last 12 months. Defense executives typically receive stock-based compensation but do not make large open-market purchases.</w:t>
      </w:r>
    </w:p>
    <w:p>
      <w:pPr>
        <w:spacing w:before="200" w:after="40"/>
      </w:pPr>
      <w:r>
        <w:rPr>
          <w:rFonts w:ascii="Calibri" w:hAnsi="Calibri"/>
          <w:b/>
          <w:color w:val="1A2010"/>
          <w:sz w:val="22"/>
        </w:rPr>
        <w:t>Infrastructure</w:t>
      </w:r>
      <w:r>
        <w:rPr>
          <w:rFonts w:ascii="Calibri" w:hAnsi="Calibri"/>
          <w:b w:val="0"/>
          <w:color w:val="1A2010"/>
          <w:sz w:val="22"/>
        </w:rPr>
        <w:t xml:space="preserve">  </w:t>
      </w:r>
      <w:r>
        <w:rPr>
          <w:rFonts w:ascii="Calibri" w:hAnsi="Calibri"/>
          <w:b/>
          <w:color w:val="16A34A"/>
          <w:sz w:val="16"/>
        </w:rPr>
        <w:t xml:space="preserve"> STRONG </w:t>
      </w:r>
    </w:p>
    <w:p>
      <w:pPr>
        <w:spacing w:before="0" w:after="40"/>
      </w:pPr>
      <w:r>
        <w:rPr>
          <w:rFonts w:ascii="Calibri" w:hAnsi="Calibri"/>
          <w:b/>
          <w:color w:val="16A34A"/>
          <w:sz w:val="28"/>
        </w:rPr>
        <w:t>8</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4409"/>
            <w:shd w:fill="16A34A" w:val="clear"/>
          </w:tcPr>
          <w:p>
            <w:pPr>
              <w:spacing w:before="0" w:after="0"/>
            </w:pPr>
            <w:r>
              <w:rPr>
                <w:rFonts w:ascii="Calibri" w:hAnsi="Calibri"/>
                <w:b w:val="0"/>
                <w:color w:val="1A2010"/>
                <w:sz w:val="4"/>
              </w:rPr>
            </w:r>
          </w:p>
        </w:tc>
        <w:tc>
          <w:tcPr>
            <w:tcW w:type="dxa" w:w="1102"/>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Mechanically scored as a Growth stock with strong fundamentals across most dimensions. D/E of 57.0% is well below the 70% target (score 1.0), and revenue growth YoY of 14.5% exceeds the 10% target (score 1.0) driven by record defense orders and commercial aerospace recovery [1]. ROE of 12.3% falls short of the 15% target (score 0.82, 2x weight), reflecting the capital-intensive nature of defense manufacturing. 5-year revenue CAGR of approximately 8% scores well (score 0.87, 2x weight). Forward P/E of 23.8 is above the 20 target but within the scoring range (score 0.91). Profit margin of 8.3% is below the 20% target (score 0.41), reflecting the lower-margin defense contract structure [1]. Forward PEG of approximately 1.6 (Forward P/E 23.8 / estimated 15% normalized EPS growth) falls between the 1.0 target and 3.0 floor (score 0.71, 2x weight). Daily dollar volume of $830M provides maximum liquidity.</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FINITE VS INFINITE GAME — SINEK (25%)</w:t>
            </w:r>
          </w:p>
        </w:tc>
      </w:tr>
    </w:tbl>
    <w:p>
      <w:pPr>
        <w:spacing w:after="40"/>
      </w:pPr>
      <w:r>
        <w:rPr>
          <w:rFonts w:ascii="Calibri" w:hAnsi="Calibri"/>
          <w:b w:val="0"/>
          <w:color w:val="6E8450"/>
          <w:sz w:val="22"/>
        </w:rPr>
        <w:t xml:space="preserve">Mindset: </w:t>
      </w:r>
      <w:r>
        <w:rPr>
          <w:rFonts w:ascii="Calibri" w:hAnsi="Calibri"/>
          <w:b/>
          <w:color w:val="B8860B"/>
          <w:sz w:val="22"/>
        </w:rPr>
        <w:t>MIXED</w:t>
      </w:r>
      <w:r>
        <w:rPr>
          <w:rFonts w:ascii="Calibri" w:hAnsi="Calibri"/>
          <w:b w:val="0"/>
          <w:color w:val="6E8450"/>
          <w:sz w:val="22"/>
        </w:rPr>
        <w:t xml:space="preserve">      Overall: </w:t>
      </w:r>
      <w:r>
        <w:rPr>
          <w:rFonts w:ascii="Calibri" w:hAnsi="Calibri"/>
          <w:b/>
          <w:color w:val="B8860B"/>
          <w:sz w:val="28"/>
        </w:rPr>
        <w:t>6</w:t>
      </w:r>
      <w:r>
        <w:rPr>
          <w:rFonts w:ascii="Calibri" w:hAnsi="Calibri"/>
          <w:b w:val="0"/>
          <w:color w:val="9DAF88"/>
          <w:sz w:val="18"/>
        </w:rPr>
        <w:t xml:space="preserve"> /10</w:t>
      </w:r>
    </w:p>
    <w:p>
      <w:pPr>
        <w:spacing w:after="120"/>
      </w:pPr>
      <w:r>
        <w:rPr>
          <w:rFonts w:ascii="Calibri" w:hAnsi="Calibri"/>
          <w:b w:val="0"/>
          <w:color w:val="3A4A28"/>
          <w:sz w:val="18"/>
        </w:rPr>
        <w:t>RTX demonstrates meaningful infinite game characteristics through its century-long legacy of serving aviation and defense (Pratt &amp; Whitney founded 1925, Raytheon 1922), the transformative Raytheon Technologies merger that restructured the company for long-term A&amp;D focus, and its willingness to invest through the GTF engine contamination crisis rather than cutting corners. The record $289B backlog provides decades-forward visibility that inherently rewards long-term thinking. However, the $1B fraud/bribery settlement reveals governance failures in certain divisions, post-merger cultural integration remains unfinished, and the defense industry's competitive language often defaults to finite framing around contract wins and market share capture.</w:t>
      </w:r>
    </w:p>
    <w:p>
      <w:pPr>
        <w:spacing w:before="200" w:after="40"/>
      </w:pPr>
      <w:r>
        <w:rPr>
          <w:rFonts w:ascii="Calibri" w:hAnsi="Calibri"/>
          <w:b/>
          <w:color w:val="1A2010"/>
          <w:sz w:val="22"/>
        </w:rPr>
        <w:t>Just Cause</w:t>
      </w:r>
    </w:p>
    <w:p>
      <w:pPr>
        <w:spacing w:before="0" w:after="40"/>
      </w:pPr>
      <w:r>
        <w:rPr>
          <w:rFonts w:ascii="Calibri" w:hAnsi="Calibri"/>
          <w:b/>
          <w:color w:val="16A34A"/>
          <w:sz w:val="28"/>
        </w:rPr>
        <w:t>7</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858"/>
            <w:shd w:fill="16A34A" w:val="clear"/>
          </w:tcPr>
          <w:p>
            <w:pPr>
              <w:spacing w:before="0" w:after="0"/>
            </w:pPr>
            <w:r>
              <w:rPr>
                <w:rFonts w:ascii="Calibri" w:hAnsi="Calibri"/>
                <w:b w:val="0"/>
                <w:color w:val="1A2010"/>
                <w:sz w:val="4"/>
              </w:rPr>
            </w:r>
          </w:p>
        </w:tc>
        <w:tc>
          <w:tcPr>
            <w:tcW w:type="dxa" w:w="1654"/>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Just Cause (2/3): RTX's purpose of advancing aviation and building smarter defense systems connects to national security and technological progress — purposes that have endured through a century of operation across Pratt &amp; Whitney (1925) and Raytheon (1922) [1]. The commitment has survived multiple leadership transitions, geopolitical shifts, and the massive Raytheon Technologies merger/restructuring. Strategic decisions — investing in GTF engine technology despite contamination setbacks, maintaining defense capabilities through budget cycles — trace to this enduring purpose. However, the purpose is broadly shared across the defense industry and hasn't been uniquely validated as a competitive advantage in the way Sinek's exemplar companies demonstrate.</w:t>
      </w:r>
    </w:p>
    <w:p>
      <w:pPr>
        <w:spacing w:before="200" w:after="40"/>
      </w:pPr>
      <w:r>
        <w:rPr>
          <w:rFonts w:ascii="Calibri" w:hAnsi="Calibri"/>
          <w:b/>
          <w:color w:val="1A2010"/>
          <w:sz w:val="22"/>
        </w:rPr>
        <w:t>Trusting Teams</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Trusting Teams (1/2): Glassdoor rating of 3.8/5 is adequate for the defense industry (average 3.6), and employees cite stability, benefits, and funded backlog as positives [3]. However, post-Raytheon Technologies merger integration has created cultural friction, with reviews describing leadership turnover, lack of direction, and a 'shooting star mentality' for top performers. CEO Christopher Calio's 60-62% approval rate is adequate but not exceptional. The 185,000-person organization across three major segments is still unifying its culture four years post-merger.</w:t>
      </w:r>
    </w:p>
    <w:p>
      <w:pPr>
        <w:spacing w:before="200" w:after="40"/>
      </w:pPr>
      <w:r>
        <w:rPr>
          <w:rFonts w:ascii="Calibri" w:hAnsi="Calibri"/>
          <w:b/>
          <w:color w:val="1A2010"/>
          <w:sz w:val="22"/>
        </w:rPr>
        <w:t>Worthy Rivals</w:t>
      </w:r>
    </w:p>
    <w:p>
      <w:pPr>
        <w:spacing w:before="0" w:after="40"/>
      </w:pPr>
      <w:r>
        <w:rPr>
          <w:rFonts w:ascii="Calibri" w:hAnsi="Calibri"/>
          <w:b/>
          <w:color w:val="16A34A"/>
          <w:sz w:val="28"/>
        </w:rPr>
        <w:t>10</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5512"/>
            <w:shd w:fill="16A34A" w:val="clear"/>
          </w:tcPr>
          <w:p>
            <w:pPr>
              <w:spacing w:before="0" w:after="0"/>
            </w:pPr>
            <w:r>
              <w:rPr>
                <w:rFonts w:ascii="Calibri" w:hAnsi="Calibri"/>
                <w:b w:val="0"/>
                <w:color w:val="1A2010"/>
                <w:sz w:val="4"/>
              </w:rPr>
            </w:r>
          </w:p>
        </w:tc>
        <w:tc>
          <w:tcPr>
            <w:tcW w:type="dxa" w:w="0"/>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Worthy Rivals (1/1): RTX acknowledges Lockheed Martin, Northrop Grumman, and other primes as competitors that drive improvement. The competitive dynamic around the F-35 engine program — Pratt &amp; Whitney's F-135 versus GE's adaptive engine alternative — represents constructive rivalry that pushes both companies to innovate. Management commentary frames competition in terms of 'being the partner of choice' for customers rather than destroying competitors, reflecting an improvement-oriented competitive mindset [1][2].</w:t>
      </w:r>
    </w:p>
    <w:p>
      <w:pPr>
        <w:spacing w:before="200" w:after="40"/>
      </w:pPr>
      <w:r>
        <w:rPr>
          <w:rFonts w:ascii="Calibri" w:hAnsi="Calibri"/>
          <w:b/>
          <w:color w:val="1A2010"/>
          <w:sz w:val="22"/>
        </w:rPr>
        <w:t>Existential Flexibility</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Existential Flexibility (1/2): The Raytheon Technologies merger fundamentally restructured the company — divesting the profitable Otis Elevator and Carrier businesses to create a pure-play A&amp;D company was a transformative decision that sacrificed diversification for strategic focus [1]. The GTF engine investment represented a generational bet on fuel efficiency that is now paying off through the narrowbody replacement cycle. These demonstrate meaningful strategic evolution, though both were driven by market logic rather than a Just Cause-driven willingness to abandon the core business.</w:t>
      </w:r>
    </w:p>
    <w:p>
      <w:pPr>
        <w:spacing w:before="200" w:after="40"/>
      </w:pPr>
      <w:r>
        <w:rPr>
          <w:rFonts w:ascii="Calibri" w:hAnsi="Calibri"/>
          <w:b/>
          <w:color w:val="1A2010"/>
          <w:sz w:val="22"/>
        </w:rPr>
        <w:t>Courage To Lead</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Courage to Lead (1/2): RTX invested through the GTF engine powder metal contamination crisis rather than cutting R&amp;D, maintained engine production rates despite supply chain constraints, and executed the Raytheon merger despite massive integration complexity [1][2]. The company maintained its dividend and shareholder returns even as Trump administration pressure on defense contractor margins created political uncertainty [4]. However, the $1B fraud/bribery settlement with the DOJ over Pentagon overcharging and Qatar bribery represents a significant leadership integrity failure that partially offsets the positive evidence.</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INVESTMENT THESIS</w:t>
            </w:r>
          </w:p>
        </w:tc>
      </w:tr>
    </w:tbl>
    <w:p>
      <w:pPr>
        <w:spacing w:after="120"/>
      </w:pPr>
      <w:r>
        <w:rPr>
          <w:rFonts w:ascii="Calibri" w:hAnsi="Calibri"/>
          <w:b w:val="0"/>
          <w:color w:val="3A4A28"/>
          <w:sz w:val="20"/>
        </w:rPr>
        <w:t>RTX at $186.95 with a $252B market cap is the premier diversified A&amp;D franchise executing at the intersection of commercial aerospace recovery and a global defense upcycle. Q2 2026 revenue surged 14% to $24.71B with adjusted EPS of $1.89, crushing the $1.66 consensus, and total backlog reached a record $289B (+22% YoY) with $43B+ in new quarterly bookings — including $20B at Raytheon, $5B in GEM-T Patriot orders, and $4B in classified awards [1][2]. The company raised full-year guidance to $7.10-$7.25 adjusted EPS on $95-96B revenue. Pratt &amp; Whitney's GTF engine powers approximately 50% of the global narrowbody fleet, positioning it as the prime beneficiary of the A320neo/A220 production ramp, while Raytheon's missile and air defense portfolio benefits from $20B+ in annual European and allied defense spending increases. D/E of 57% and an investment-grade balance sheet support both organic investment and shareholder returns.</w:t>
      </w:r>
    </w:p>
    <w:p>
      <w:pPr>
        <w:spacing w:after="120"/>
      </w:pPr>
      <w:r>
        <w:rPr>
          <w:rFonts w:ascii="Calibri" w:hAnsi="Calibri"/>
          <w:b w:val="0"/>
          <w:color w:val="3A4A28"/>
          <w:sz w:val="20"/>
        </w:rPr>
        <w:t>The bear case centers on execution risk, margin pressure, and geopolitical uncertainty. Profit margin of 8.3% reflects the capital-intensive, cost-plus nature of defense contracting and Pratt &amp; Whitney's engine aftermarket, and margin expansion may be constrained by supply chain bottlenecks as the industry ramps to multi-year production highs [1]. The PEG of approximately 1.6 suggests the market is pricing in sustained mid-teens earnings growth, leaving limited upside if defense budgets plateau or commercial aerospace recovery slows. The $1B fraud/bribery settlement with the DOJ over Pentagon overcharging and Qatar bribery represents a reputational and governance risk that could affect future contract awards [4]. Working capital buildup at higher production rates consumes cash and could pressure free cash flow conversion. The 2027 NDAA has not yet been enacted following a failed Senate cloture vote, creating near-term defense budget uncertainty. Pratt &amp; Whitney's GTF powder metal contamination issue continues to require engine inspections that create MRO scheduling constraints and customer friction [1].</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KEY CATALYSTS</w:t>
            </w:r>
          </w:p>
        </w:tc>
      </w:tr>
    </w:tbl>
    <w:p>
      <w:pPr>
        <w:spacing w:before="40" w:after="40"/>
        <w:ind w:left="283"/>
      </w:pPr>
      <w:r>
        <w:rPr>
          <w:rFonts w:ascii="Calibri" w:hAnsi="Calibri"/>
          <w:b/>
          <w:color w:val="4A6B25"/>
          <w:sz w:val="20"/>
        </w:rPr>
        <w:t xml:space="preserve">1. </w:t>
      </w:r>
      <w:r>
        <w:rPr>
          <w:rFonts w:ascii="Calibri" w:hAnsi="Calibri"/>
          <w:b w:val="0"/>
          <w:color w:val="3A4A28"/>
          <w:sz w:val="20"/>
        </w:rPr>
        <w:t>Record backlog of $289B (+22% YoY) with TTM book-to-bill of approximately 1.5x provides multi-year revenue visibility and supports confidence in the $95-96B revenue guidance, with defense orders accelerating on European rearmament and allied defense spending increases [1][2]</w:t>
      </w:r>
    </w:p>
    <w:p>
      <w:pPr>
        <w:spacing w:before="40" w:after="40"/>
        <w:ind w:left="283"/>
      </w:pPr>
      <w:r>
        <w:rPr>
          <w:rFonts w:ascii="Calibri" w:hAnsi="Calibri"/>
          <w:b/>
          <w:color w:val="4A6B25"/>
          <w:sz w:val="20"/>
        </w:rPr>
        <w:t xml:space="preserve">2. </w:t>
      </w:r>
      <w:r>
        <w:rPr>
          <w:rFonts w:ascii="Calibri" w:hAnsi="Calibri"/>
          <w:b w:val="0"/>
          <w:color w:val="3A4A28"/>
          <w:sz w:val="20"/>
        </w:rPr>
        <w:t>Pratt &amp; Whitney's GTF engine production ramp benefits from the Airbus A320neo and A220 production increases, with approximately 50% of the global narrowbody fleet powered by Pratt engines and a $170B commercial backlog providing decade-long visibility</w:t>
      </w:r>
    </w:p>
    <w:p>
      <w:pPr>
        <w:spacing w:before="40" w:after="40"/>
        <w:ind w:left="283"/>
      </w:pPr>
      <w:r>
        <w:rPr>
          <w:rFonts w:ascii="Calibri" w:hAnsi="Calibri"/>
          <w:b/>
          <w:color w:val="4A6B25"/>
          <w:sz w:val="20"/>
        </w:rPr>
        <w:t xml:space="preserve">3. </w:t>
      </w:r>
      <w:r>
        <w:rPr>
          <w:rFonts w:ascii="Calibri" w:hAnsi="Calibri"/>
          <w:b w:val="0"/>
          <w:color w:val="3A4A28"/>
          <w:sz w:val="20"/>
        </w:rPr>
        <w:t>Raytheon's missile and air defense franchise is the prime beneficiary of the global air defense replenishment cycle — $5B in GEM-T Patriot orders, $745M SM-3 Block IIA contract, and $4B in classified awards in Q2 alone demonstrate accelerating demand [2]</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DC2626"/>
            </w:tcBorders>
          </w:tcPr>
          <w:p>
            <w:pPr>
              <w:spacing w:before="240" w:after="80"/>
            </w:pPr>
            <w:r>
              <w:rPr>
                <w:rFonts w:ascii="Calibri" w:hAnsi="Calibri"/>
                <w:b/>
                <w:color w:val="6E8450"/>
                <w:sz w:val="17"/>
              </w:rPr>
              <w:t>KEY RISKS</w:t>
            </w:r>
          </w:p>
        </w:tc>
      </w:tr>
    </w:tbl>
    <w:p>
      <w:pPr>
        <w:spacing w:before="40" w:after="40"/>
        <w:ind w:left="283"/>
      </w:pPr>
      <w:r>
        <w:rPr>
          <w:rFonts w:ascii="Calibri" w:hAnsi="Calibri"/>
          <w:b/>
          <w:color w:val="4A6B25"/>
          <w:sz w:val="20"/>
        </w:rPr>
        <w:t xml:space="preserve">1. </w:t>
      </w:r>
      <w:r>
        <w:rPr>
          <w:rFonts w:ascii="Calibri" w:hAnsi="Calibri"/>
          <w:b w:val="0"/>
          <w:color w:val="3A4A28"/>
          <w:sz w:val="20"/>
        </w:rPr>
        <w:t>Profit margin of 8.3% and capital-intensive production ramps constrain earnings leverage — supply chain bottlenecks for castings, forgings, and electronic components could delay deliveries and compress margins further as the industry pushes toward multi-year production highs [1]</w:t>
      </w:r>
    </w:p>
    <w:p>
      <w:pPr>
        <w:spacing w:before="40" w:after="40"/>
        <w:ind w:left="283"/>
      </w:pPr>
      <w:r>
        <w:rPr>
          <w:rFonts w:ascii="Calibri" w:hAnsi="Calibri"/>
          <w:b/>
          <w:color w:val="4A6B25"/>
          <w:sz w:val="20"/>
        </w:rPr>
        <w:t xml:space="preserve">2. </w:t>
      </w:r>
      <w:r>
        <w:rPr>
          <w:rFonts w:ascii="Calibri" w:hAnsi="Calibri"/>
          <w:b w:val="0"/>
          <w:color w:val="3A4A28"/>
          <w:sz w:val="20"/>
        </w:rPr>
        <w:t>The $1B DOJ fraud/bribery settlement for Pentagon overcharging and Qatar bribery represents a governance failure that could affect future contract competitiveness, and ongoing shareholder proposals on human rights due diligence for weapons used in conflict zones create reputational pressure [4]</w:t>
      </w:r>
    </w:p>
    <w:p>
      <w:pPr>
        <w:spacing w:before="40" w:after="40"/>
        <w:ind w:left="283"/>
      </w:pPr>
      <w:r>
        <w:rPr>
          <w:rFonts w:ascii="Calibri" w:hAnsi="Calibri"/>
          <w:b/>
          <w:color w:val="4A6B25"/>
          <w:sz w:val="20"/>
        </w:rPr>
        <w:t xml:space="preserve">3. </w:t>
      </w:r>
      <w:r>
        <w:rPr>
          <w:rFonts w:ascii="Calibri" w:hAnsi="Calibri"/>
          <w:b w:val="0"/>
          <w:color w:val="3A4A28"/>
          <w:sz w:val="20"/>
        </w:rPr>
        <w:t>Defense budget uncertainty — the 2027 NDAA failed a Senate cloture vote, and potential budget sequestration or continuing resolutions could delay new contract awards and reduce near-term order flow despite the strong backlog position</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AI RESILIENCE (25%)</w:t>
            </w:r>
          </w:p>
        </w:tc>
      </w:tr>
    </w:tbl>
    <w:p>
      <w:pPr>
        <w:spacing w:before="200" w:after="40"/>
      </w:pPr>
      <w:r>
        <w:rPr>
          <w:rFonts w:ascii="Calibri" w:hAnsi="Calibri"/>
          <w:b/>
          <w:color w:val="1A2010"/>
          <w:sz w:val="22"/>
        </w:rPr>
        <w:t>AI Resilience</w:t>
      </w:r>
      <w:r>
        <w:rPr>
          <w:rFonts w:ascii="Calibri" w:hAnsi="Calibri"/>
          <w:b w:val="0"/>
          <w:color w:val="1A2010"/>
          <w:sz w:val="22"/>
        </w:rPr>
        <w:t xml:space="preserve">  </w:t>
      </w:r>
      <w:r>
        <w:rPr>
          <w:rFonts w:ascii="Calibri" w:hAnsi="Calibri"/>
          <w:b/>
          <w:color w:val="16A34A"/>
          <w:sz w:val="16"/>
        </w:rPr>
        <w:t xml:space="preserve"> LOW RISK </w:t>
      </w:r>
    </w:p>
    <w:p>
      <w:pPr>
        <w:spacing w:before="0" w:after="40"/>
      </w:pPr>
      <w:r>
        <w:rPr>
          <w:rFonts w:ascii="Calibri" w:hAnsi="Calibri"/>
          <w:b/>
          <w:color w:val="16A34A"/>
          <w:sz w:val="28"/>
        </w:rPr>
        <w:t>9</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4961"/>
            <w:shd w:fill="16A34A" w:val="clear"/>
          </w:tcPr>
          <w:p>
            <w:pPr>
              <w:spacing w:before="0" w:after="0"/>
            </w:pPr>
            <w:r>
              <w:rPr>
                <w:rFonts w:ascii="Calibri" w:hAnsi="Calibri"/>
                <w:b w:val="0"/>
                <w:color w:val="1A2010"/>
                <w:sz w:val="4"/>
              </w:rPr>
            </w:r>
          </w:p>
        </w:tc>
        <w:tc>
          <w:tcPr>
            <w:tcW w:type="dxa" w:w="551"/>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AI Risk Protection (8/9): Defense contracting is structurally immune to AI disruption. Military hardware — missiles, jet engines, radar systems, avionics, and cybersecurity infrastructure — requires decades of qualification, security clearances, manufacturing capability, and government relationships that AI fundamentally cannot replace [1][2]. The $289B backlog provides multi-year revenue visibility that is contractually locked in. In fact, AI increases demand for RTX's products as militaries deploy AI-enabled weapons systems, autonomous platforms, and advanced sensor networks — RTX is a supplier to the AI-defense build-out, not a victim of it. Pratt &amp; Whitney's engine maintenance is driven by physical wear on turbine components that AI cannot eliminate. However, AI could eventually automate some lower-value engineering services and reduce labor content in maintenance, representing marginal exposure. AI Opportunity (1/1): RTX generates AI-related revenue through AI-enabled defense systems deployed across active military programs — autonomous targeting, sensor fusion for Patriot/SM-3 interceptors, predictive maintenance platforms for engine fleets, and electronic warfare systems [2]. While not separately reported, these capabilities are embedded in billions of dollars of defense contracts.</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FAITH ALIGNMENT — INSPIRE INSIGHT</w:t>
            </w:r>
          </w:p>
        </w:tc>
      </w:tr>
    </w:tbl>
    <w:p>
      <w:pPr>
        <w:spacing w:after="40"/>
      </w:pPr>
      <w:r>
        <w:rPr>
          <w:rFonts w:ascii="Calibri" w:hAnsi="Calibri"/>
          <w:b w:val="0"/>
          <w:color w:val="6E8450"/>
          <w:sz w:val="22"/>
        </w:rPr>
        <w:t xml:space="preserve">Inspire Impact Score:  </w:t>
      </w:r>
      <w:r>
        <w:rPr>
          <w:rFonts w:ascii="Calibri" w:hAnsi="Calibri"/>
          <w:b/>
          <w:color w:val="DC2626"/>
          <w:sz w:val="28"/>
        </w:rPr>
        <w:t>-49</w:t>
      </w:r>
      <w:r>
        <w:rPr>
          <w:rFonts w:ascii="Calibri" w:hAnsi="Calibri"/>
          <w:b/>
          <w:color w:val="B8860B"/>
          <w:sz w:val="20"/>
        </w:rPr>
        <w:t xml:space="preserve">    MISALIGNED</w:t>
      </w:r>
    </w:p>
    <w:p>
      <w:pPr>
        <w:spacing w:before="80" w:after="40"/>
      </w:pPr>
      <w:r>
        <w:rPr>
          <w:rFonts w:ascii="Calibri" w:hAnsi="Calibri"/>
          <w:b/>
          <w:color w:val="6E8450"/>
          <w:sz w:val="18"/>
        </w:rPr>
        <w:t xml:space="preserve">Negative: </w:t>
      </w:r>
      <w:r>
        <w:rPr>
          <w:rFonts w:ascii="Calibri" w:hAnsi="Calibri"/>
          <w:b/>
          <w:color w:val="DC2626"/>
          <w:sz w:val="17"/>
        </w:rPr>
        <w:t xml:space="preserve"> LGBT Activism </w:t>
      </w:r>
    </w:p>
    <w:p>
      <w:pPr>
        <w:spacing w:before="80" w:after="40"/>
      </w:pPr>
      <w:r>
        <w:rPr>
          <w:rFonts w:ascii="Calibri" w:hAnsi="Calibri"/>
          <w:b/>
          <w:color w:val="6E8450"/>
          <w:sz w:val="18"/>
        </w:rPr>
        <w:t xml:space="preserve">Positive: </w:t>
      </w:r>
      <w:r>
        <w:rPr>
          <w:rFonts w:ascii="Calibri" w:hAnsi="Calibri"/>
          <w:b/>
          <w:color w:val="16A34A"/>
          <w:sz w:val="17"/>
        </w:rPr>
        <w:t xml:space="preserve"> Air Quality </w:t>
      </w:r>
      <w:r>
        <w:rPr>
          <w:rFonts w:ascii="Calibri" w:hAnsi="Calibri"/>
          <w:b w:val="0"/>
          <w:color w:val="9DAF88"/>
          <w:sz w:val="17"/>
        </w:rPr>
        <w:t xml:space="preserve">  ·  </w:t>
      </w:r>
      <w:r>
        <w:rPr>
          <w:rFonts w:ascii="Calibri" w:hAnsi="Calibri"/>
          <w:b/>
          <w:color w:val="16A34A"/>
          <w:sz w:val="17"/>
        </w:rPr>
        <w:t xml:space="preserve"> Business Resilience </w:t>
      </w:r>
      <w:r>
        <w:rPr>
          <w:rFonts w:ascii="Calibri" w:hAnsi="Calibri"/>
          <w:b w:val="0"/>
          <w:color w:val="9DAF88"/>
          <w:sz w:val="17"/>
        </w:rPr>
        <w:t xml:space="preserve">  ·  </w:t>
      </w:r>
      <w:r>
        <w:rPr>
          <w:rFonts w:ascii="Calibri" w:hAnsi="Calibri"/>
          <w:b/>
          <w:color w:val="16A34A"/>
          <w:sz w:val="17"/>
        </w:rPr>
        <w:t xml:space="preserve"> Customer Privacy </w:t>
      </w:r>
      <w:r>
        <w:rPr>
          <w:rFonts w:ascii="Calibri" w:hAnsi="Calibri"/>
          <w:b w:val="0"/>
          <w:color w:val="9DAF88"/>
          <w:sz w:val="17"/>
        </w:rPr>
        <w:t xml:space="preserve">  ·  </w:t>
      </w:r>
      <w:r>
        <w:rPr>
          <w:rFonts w:ascii="Calibri" w:hAnsi="Calibri"/>
          <w:b/>
          <w:color w:val="16A34A"/>
          <w:sz w:val="17"/>
        </w:rPr>
        <w:t xml:space="preserve"> Customer Welfare </w:t>
      </w:r>
      <w:r>
        <w:rPr>
          <w:rFonts w:ascii="Calibri" w:hAnsi="Calibri"/>
          <w:b w:val="0"/>
          <w:color w:val="9DAF88"/>
          <w:sz w:val="17"/>
        </w:rPr>
        <w:t xml:space="preserve">  ·  </w:t>
      </w:r>
      <w:r>
        <w:rPr>
          <w:rFonts w:ascii="Calibri" w:hAnsi="Calibri"/>
          <w:b/>
          <w:color w:val="16A34A"/>
          <w:sz w:val="17"/>
        </w:rPr>
        <w:t xml:space="preserve"> Data Security </w:t>
      </w:r>
      <w:r>
        <w:rPr>
          <w:rFonts w:ascii="Calibri" w:hAnsi="Calibri"/>
          <w:b w:val="0"/>
          <w:color w:val="9DAF88"/>
          <w:sz w:val="17"/>
        </w:rPr>
        <w:t xml:space="preserve">  ·  </w:t>
      </w:r>
      <w:r>
        <w:rPr>
          <w:rFonts w:ascii="Calibri" w:hAnsi="Calibri"/>
          <w:b/>
          <w:color w:val="16A34A"/>
          <w:sz w:val="17"/>
        </w:rPr>
        <w:t xml:space="preserve"> Employee Wellbeing </w:t>
      </w:r>
      <w:r>
        <w:rPr>
          <w:rFonts w:ascii="Calibri" w:hAnsi="Calibri"/>
          <w:b w:val="0"/>
          <w:color w:val="9DAF88"/>
          <w:sz w:val="17"/>
        </w:rPr>
        <w:t xml:space="preserve">  ·  </w:t>
      </w:r>
      <w:r>
        <w:rPr>
          <w:rFonts w:ascii="Calibri" w:hAnsi="Calibri"/>
          <w:b/>
          <w:color w:val="16A34A"/>
          <w:sz w:val="17"/>
        </w:rPr>
        <w:t xml:space="preserve"> Energy Management </w:t>
      </w:r>
      <w:r>
        <w:rPr>
          <w:rFonts w:ascii="Calibri" w:hAnsi="Calibri"/>
          <w:b w:val="0"/>
          <w:color w:val="9DAF88"/>
          <w:sz w:val="17"/>
        </w:rPr>
        <w:t xml:space="preserve">  ·  </w:t>
      </w:r>
      <w:r>
        <w:rPr>
          <w:rFonts w:ascii="Calibri" w:hAnsi="Calibri"/>
          <w:b/>
          <w:color w:val="16A34A"/>
          <w:sz w:val="17"/>
        </w:rPr>
        <w:t xml:space="preserve"> Ethical Labor Practices </w:t>
      </w:r>
      <w:r>
        <w:rPr>
          <w:rFonts w:ascii="Calibri" w:hAnsi="Calibri"/>
          <w:b w:val="0"/>
          <w:color w:val="9DAF88"/>
          <w:sz w:val="17"/>
        </w:rPr>
        <w:t xml:space="preserve">  ·  </w:t>
      </w:r>
      <w:r>
        <w:rPr>
          <w:rFonts w:ascii="Calibri" w:hAnsi="Calibri"/>
          <w:b/>
          <w:color w:val="16A34A"/>
          <w:sz w:val="17"/>
        </w:rPr>
        <w:t xml:space="preserve"> Ethical Supply Chain Management </w:t>
      </w:r>
      <w:r>
        <w:rPr>
          <w:rFonts w:ascii="Calibri" w:hAnsi="Calibri"/>
          <w:b w:val="0"/>
          <w:color w:val="9DAF88"/>
          <w:sz w:val="17"/>
        </w:rPr>
        <w:t xml:space="preserve">  ·  </w:t>
      </w:r>
      <w:r>
        <w:rPr>
          <w:rFonts w:ascii="Calibri" w:hAnsi="Calibri"/>
          <w:b/>
          <w:color w:val="16A34A"/>
          <w:sz w:val="17"/>
        </w:rPr>
        <w:t xml:space="preserve"> GHG Emissions </w:t>
      </w:r>
      <w:r>
        <w:rPr>
          <w:rFonts w:ascii="Calibri" w:hAnsi="Calibri"/>
          <w:b w:val="0"/>
          <w:color w:val="9DAF88"/>
          <w:sz w:val="17"/>
        </w:rPr>
        <w:t xml:space="preserve">  ·  </w:t>
      </w:r>
      <w:r>
        <w:rPr>
          <w:rFonts w:ascii="Calibri" w:hAnsi="Calibri"/>
          <w:b/>
          <w:color w:val="16A34A"/>
          <w:sz w:val="17"/>
        </w:rPr>
        <w:t xml:space="preserve"> Hiring Ethics </w:t>
      </w:r>
      <w:r>
        <w:rPr>
          <w:rFonts w:ascii="Calibri" w:hAnsi="Calibri"/>
          <w:b w:val="0"/>
          <w:color w:val="9DAF88"/>
          <w:sz w:val="17"/>
        </w:rPr>
        <w:t xml:space="preserve">  ·  </w:t>
      </w:r>
      <w:r>
        <w:rPr>
          <w:rFonts w:ascii="Calibri" w:hAnsi="Calibri"/>
          <w:b/>
          <w:color w:val="16A34A"/>
          <w:sz w:val="17"/>
        </w:rPr>
        <w:t xml:space="preserve"> Low Ecological Impact </w:t>
      </w:r>
      <w:r>
        <w:rPr>
          <w:rFonts w:ascii="Calibri" w:hAnsi="Calibri"/>
          <w:b w:val="0"/>
          <w:color w:val="9DAF88"/>
          <w:sz w:val="17"/>
        </w:rPr>
        <w:t xml:space="preserve">  ·  </w:t>
      </w:r>
      <w:r>
        <w:rPr>
          <w:rFonts w:ascii="Calibri" w:hAnsi="Calibri"/>
          <w:b/>
          <w:color w:val="16A34A"/>
          <w:sz w:val="17"/>
        </w:rPr>
        <w:t xml:space="preserve"> Materials Efficiency </w:t>
      </w:r>
      <w:r>
        <w:rPr>
          <w:rFonts w:ascii="Calibri" w:hAnsi="Calibri"/>
          <w:b w:val="0"/>
          <w:color w:val="9DAF88"/>
          <w:sz w:val="17"/>
        </w:rPr>
        <w:t xml:space="preserve">  ·  </w:t>
      </w:r>
      <w:r>
        <w:rPr>
          <w:rFonts w:ascii="Calibri" w:hAnsi="Calibri"/>
          <w:b/>
          <w:color w:val="16A34A"/>
          <w:sz w:val="17"/>
        </w:rPr>
        <w:t xml:space="preserve"> Product Access and Affordability </w:t>
      </w:r>
      <w:r>
        <w:rPr>
          <w:rFonts w:ascii="Calibri" w:hAnsi="Calibri"/>
          <w:b w:val="0"/>
          <w:color w:val="9DAF88"/>
          <w:sz w:val="17"/>
        </w:rPr>
        <w:t xml:space="preserve">  ·  </w:t>
      </w:r>
      <w:r>
        <w:rPr>
          <w:rFonts w:ascii="Calibri" w:hAnsi="Calibri"/>
          <w:b/>
          <w:color w:val="16A34A"/>
          <w:sz w:val="17"/>
        </w:rPr>
        <w:t xml:space="preserve"> Product Sustainability </w:t>
      </w:r>
      <w:r>
        <w:rPr>
          <w:rFonts w:ascii="Calibri" w:hAnsi="Calibri"/>
          <w:b w:val="0"/>
          <w:color w:val="9DAF88"/>
          <w:sz w:val="17"/>
        </w:rPr>
        <w:t xml:space="preserve">  ·  </w:t>
      </w:r>
      <w:r>
        <w:rPr>
          <w:rFonts w:ascii="Calibri" w:hAnsi="Calibri"/>
          <w:b/>
          <w:color w:val="16A34A"/>
          <w:sz w:val="17"/>
        </w:rPr>
        <w:t xml:space="preserve"> Regulatory Adherence </w:t>
      </w:r>
      <w:r>
        <w:rPr>
          <w:rFonts w:ascii="Calibri" w:hAnsi="Calibri"/>
          <w:b w:val="0"/>
          <w:color w:val="9DAF88"/>
          <w:sz w:val="17"/>
        </w:rPr>
        <w:t xml:space="preserve">  ·  </w:t>
      </w:r>
      <w:r>
        <w:rPr>
          <w:rFonts w:ascii="Calibri" w:hAnsi="Calibri"/>
          <w:b/>
          <w:color w:val="16A34A"/>
          <w:sz w:val="17"/>
        </w:rPr>
        <w:t xml:space="preserve"> Waste and Hazmat Management </w:t>
      </w:r>
    </w:p>
    <w:p>
      <w:pPr>
        <w:spacing w:before="120"/>
      </w:pPr>
      <w:r>
        <w:rPr>
          <w:rFonts w:ascii="Calibri" w:hAnsi="Calibri"/>
          <w:b w:val="0"/>
          <w:color w:val="9DAF88"/>
          <w:sz w:val="15"/>
        </w:rPr>
        <w:t>Source: Inspire Insight</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RESOURCES</w:t>
            </w:r>
          </w:p>
        </w:tc>
      </w:tr>
    </w:tbl>
    <w:p>
      <w:pPr>
        <w:spacing w:before="20" w:after="20"/>
        <w:ind w:left="170"/>
      </w:pPr>
      <w:r>
        <w:rPr>
          <w:rFonts w:ascii="Calibri" w:hAnsi="Calibri"/>
          <w:b/>
          <w:color w:val="4A6B25"/>
          <w:sz w:val="15"/>
        </w:rPr>
        <w:t xml:space="preserve">1. </w:t>
      </w:r>
      <w:r>
        <w:rPr>
          <w:rFonts w:ascii="Calibri" w:hAnsi="Calibri"/>
          <w:b w:val="0"/>
          <w:color w:val="3A4A28"/>
          <w:sz w:val="17"/>
        </w:rPr>
        <w:t>RTX Corporation Q2 2026 Earnings — Revenue $24.71B (+14% YoY), Adjusted EPS $1.89 (Beat $1.66), Total Backlog $289B (+22% YoY), Guidance $7.10-$7.25 EPS — Nasdaq, fn2.ai, July 2026</w:t>
      </w:r>
    </w:p>
    <w:p>
      <w:pPr>
        <w:spacing w:before="20" w:after="20"/>
        <w:ind w:left="170"/>
      </w:pPr>
      <w:r>
        <w:rPr>
          <w:rFonts w:ascii="Calibri" w:hAnsi="Calibri"/>
          <w:b/>
          <w:color w:val="4A6B25"/>
          <w:sz w:val="15"/>
        </w:rPr>
        <w:t xml:space="preserve">2. </w:t>
      </w:r>
      <w:r>
        <w:rPr>
          <w:rFonts w:ascii="Calibri" w:hAnsi="Calibri"/>
          <w:b w:val="0"/>
          <w:color w:val="3A4A28"/>
          <w:sz w:val="17"/>
        </w:rPr>
        <w:t>RTX Defense Orders and Backlog — $43B Q2 Bookings, $20B Raytheon, $5B GEM-T Patriot, $4B Classified, SM-3 Block IIA $745M MDA Contract — Autobound, CNH News, August 2026</w:t>
      </w:r>
    </w:p>
    <w:p>
      <w:pPr>
        <w:spacing w:before="20" w:after="20"/>
        <w:ind w:left="170"/>
      </w:pPr>
      <w:r>
        <w:rPr>
          <w:rFonts w:ascii="Calibri" w:hAnsi="Calibri"/>
          <w:b/>
          <w:color w:val="4A6B25"/>
          <w:sz w:val="15"/>
        </w:rPr>
        <w:t xml:space="preserve">3. </w:t>
      </w:r>
      <w:r>
        <w:rPr>
          <w:rFonts w:ascii="Calibri" w:hAnsi="Calibri"/>
          <w:b w:val="0"/>
          <w:color w:val="3A4A28"/>
          <w:sz w:val="17"/>
        </w:rPr>
        <w:t>RTX Corporation Glassdoor Reviews — 3.8/5 Stars, CEO Christopher Calio 60-62% Approval, Post-Merger Integration Issues — Glassdoor, 2026</w:t>
      </w:r>
    </w:p>
    <w:p>
      <w:pPr>
        <w:spacing w:before="20" w:after="20"/>
        <w:ind w:left="170"/>
      </w:pPr>
      <w:r>
        <w:rPr>
          <w:rFonts w:ascii="Calibri" w:hAnsi="Calibri"/>
          <w:b/>
          <w:color w:val="4A6B25"/>
          <w:sz w:val="15"/>
        </w:rPr>
        <w:t xml:space="preserve">4. </w:t>
      </w:r>
      <w:r>
        <w:rPr>
          <w:rFonts w:ascii="Calibri" w:hAnsi="Calibri"/>
          <w:b w:val="0"/>
          <w:color w:val="3A4A28"/>
          <w:sz w:val="17"/>
        </w:rPr>
        <w:t>RTX Corporation ESG and Governance — $1B DOJ Fraud/Bribery Settlement, Human Rights Shareholder Proposals, NZ Superfund Divestiture, Trump Defense Pressure — SEC, ZNetwork, Scoop, Bloomberg, 2024-2026</w:t>
      </w:r>
    </w:p>
    <w:p>
      <w:pPr>
        <w:spacing w:before="400"/>
        <w:jc w:val="center"/>
      </w:pPr>
      <w:r>
        <w:rPr>
          <w:rFonts w:ascii="Calibri" w:hAnsi="Calibri"/>
          <w:b w:val="0"/>
          <w:color w:val="9DAF88"/>
          <w:sz w:val="16"/>
        </w:rPr>
        <w:t>Paradiem, LLC dba Intentional Ownership (“IOWN”) is a registered investment advisor. The information provided is for educational and informational purposes only and does not constitute investment advice.</w:t>
      </w:r>
    </w:p>
    <w:sectPr w:rsidR="00FC693F" w:rsidRPr="0006063C" w:rsidSect="00034616">
      <w:pgSz w:w="12240" w:h="15840"/>
      <w:pgMar w:top="720" w:right="720" w:bottom="720" w:left="7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