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371600" cy="723227"/>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1371600" cy="723227"/>
                    </a:xfrm>
                    <a:prstGeom prst="rect"/>
                  </pic:spPr>
                </pic:pic>
              </a:graphicData>
            </a:graphic>
          </wp:inline>
        </w:drawing>
      </w:r>
    </w:p>
    <w:p>
      <w:pPr>
        <w:spacing w:before="120" w:after="40"/>
      </w:pPr>
      <w:r>
        <w:rPr>
          <w:rFonts w:ascii="Calibri" w:hAnsi="Calibri"/>
          <w:b/>
          <w:color w:val="4A6B25"/>
          <w:sz w:val="56"/>
        </w:rPr>
        <w:t>RUN</w:t>
      </w:r>
      <w:r>
        <w:rPr>
          <w:rFonts w:ascii="Calibri" w:hAnsi="Calibri"/>
          <w:b/>
          <w:color w:val="1A2010"/>
          <w:sz w:val="40"/>
        </w:rPr>
        <w:t xml:space="preserve">  Sunrun Inc.</w:t>
      </w:r>
    </w:p>
    <w:p>
      <w:pPr>
        <w:spacing w:after="120"/>
      </w:pPr>
      <w:r>
        <w:rPr>
          <w:rFonts w:ascii="Calibri" w:hAnsi="Calibri"/>
          <w:b/>
          <w:color w:val="6E8450"/>
          <w:sz w:val="18"/>
        </w:rPr>
        <w:t>GROWTH SLEEVE · 2026-10-10 · Inspire: -67 · MIXED</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1200" w:type="dxa"/>
      </w:tblPr>
      <w:tblGrid>
        <w:gridCol w:w="10800"/>
      </w:tblGrid>
      <w:tr>
        <w:tc>
          <w:tcPr>
            <w:tcW w:type="dxa" w:w="10800"/>
            <w:shd w:fill="E3F2FD" w:val="clear"/>
          </w:tcPr>
          <w:p>
            <w:pPr>
              <w:spacing w:before="40" w:after="40"/>
              <w:jc w:val="center"/>
            </w:pPr>
            <w:r>
              <w:rPr>
                <w:rFonts w:ascii="Calibri" w:hAnsi="Calibri"/>
                <w:b/>
                <w:color w:val="2563EB"/>
                <w:sz w:val="20"/>
              </w:rPr>
              <w:t>WATCH</w:t>
            </w:r>
          </w:p>
        </w:tc>
      </w:tr>
    </w:tbl>
    <w:p>
      <w:pPr>
        <w:spacing w:before="120" w:after="200"/>
      </w:pPr>
      <w:r>
        <w:rPr>
          <w:rFonts w:ascii="Calibri" w:hAnsi="Calibri"/>
          <w:b/>
          <w:color w:val="1A2010"/>
          <w:sz w:val="80"/>
        </w:rPr>
        <w:t>56</w:t>
      </w:r>
      <w:r>
        <w:rPr>
          <w:rFonts w:ascii="Calibri" w:hAnsi="Calibri"/>
          <w:b w:val="0"/>
          <w:color w:val="9DAF88"/>
          <w:sz w:val="28"/>
        </w:rPr>
        <w:t xml:space="preserve"> / </w:t>
      </w:r>
      <w:r>
        <w:rPr>
          <w:rFonts w:ascii="Calibri" w:hAnsi="Calibri"/>
          <w:b w:val="0"/>
          <w:color w:val="9DAF88"/>
          <w:sz w:val="24"/>
        </w:rPr>
        <w:t>100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COMPANY PROFILE</w:t>
            </w:r>
          </w:p>
        </w:tc>
      </w:tr>
    </w:tbl>
    <w:p>
      <w:r>
        <w:rPr>
          <w:rFonts w:ascii="Calibri" w:hAnsi="Calibri"/>
          <w:b/>
          <w:color w:val="6E8450"/>
          <w:sz w:val="18"/>
        </w:rPr>
        <w:t>Technology · Solar · NMS · United States</w:t>
      </w:r>
    </w:p>
    <w:p>
      <w:pPr>
        <w:spacing w:after="80"/>
      </w:pPr>
      <w:r>
        <w:rPr>
          <w:rFonts w:ascii="Calibri" w:hAnsi="Calibri"/>
          <w:b w:val="0"/>
          <w:color w:val="3A4A28"/>
          <w:sz w:val="20"/>
        </w:rPr>
        <w:t>Sunrun Inc. is the largest residential solar, battery storage, and energy services company in the United States, serving over 900,000 customers through customer agreements (leases and power purchase agreements) and direct system sales. TTM revenue reached $3.5B with 52.8% YoY growth driven primarily by energy storage system sales to a third-party purchaser under a 2025 transaction structure. The company also operates virtual power plant programs providing grid services to utilities. Founded in 2007 and headquartered in San Francisco, California, with 9,059 employees.</w:t>
      </w:r>
    </w:p>
    <w:p>
      <w:r>
        <w:rPr>
          <w:rFonts w:ascii="Calibri" w:hAnsi="Calibri"/>
          <w:b/>
          <w:color w:val="6E8450"/>
          <w:sz w:val="18"/>
        </w:rPr>
        <w:t>9,059 Employees · https://www.sunrun.com</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EXCELLENCE EVALUATION — THINK LIKE AN OWNER (50%)</w:t>
            </w:r>
          </w:p>
        </w:tc>
      </w:tr>
    </w:tbl>
    <w:p>
      <w:pPr>
        <w:spacing w:before="200" w:after="40"/>
      </w:pPr>
      <w:r>
        <w:rPr>
          <w:rFonts w:ascii="Calibri" w:hAnsi="Calibri"/>
          <w:b/>
          <w:color w:val="1A2010"/>
          <w:sz w:val="22"/>
        </w:rPr>
        <w:t>Innovation</w:t>
      </w:r>
      <w:r>
        <w:rPr>
          <w:rFonts w:ascii="Calibri" w:hAnsi="Calibri"/>
          <w:b w:val="0"/>
          <w:color w:val="1A2010"/>
          <w:sz w:val="22"/>
        </w:rPr>
        <w:t xml:space="preserve">  </w:t>
      </w:r>
      <w:r>
        <w:rPr>
          <w:rFonts w:ascii="Calibri" w:hAnsi="Calibri"/>
          <w:b/>
          <w:color w:val="B8860B"/>
          <w:sz w:val="16"/>
        </w:rPr>
        <w:t xml:space="preserve"> DEVELOPING </w:t>
      </w:r>
    </w:p>
    <w:p>
      <w:pPr>
        <w:spacing w:before="0" w:after="40"/>
      </w:pPr>
      <w:r>
        <w:rPr>
          <w:rFonts w:ascii="Calibri" w:hAnsi="Calibri"/>
          <w:b/>
          <w:color w:val="B8860B"/>
          <w:sz w:val="28"/>
        </w:rPr>
        <w:t>5</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756"/>
            <w:shd w:fill="B8860B" w:val="clear"/>
          </w:tcPr>
          <w:p>
            <w:pPr>
              <w:spacing w:before="0" w:after="0"/>
            </w:pPr>
            <w:r>
              <w:rPr>
                <w:rFonts w:ascii="Calibri" w:hAnsi="Calibri"/>
                <w:b w:val="0"/>
                <w:color w:val="1A2010"/>
                <w:sz w:val="4"/>
              </w:rPr>
            </w:r>
          </w:p>
        </w:tc>
        <w:tc>
          <w:tcPr>
            <w:tcW w:type="dxa" w:w="2756"/>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Track Record (2/3): Sunrun has expanded from a pure residential solar installer to a comprehensive home energy platform — adding battery storage with industry-leading attachment rates, virtual power plant (VPP) programs selling grid services to utilities, and a third-party storage sale transaction structure that drove the 193% increase in energy systems revenue in Q2 2026 [1][2]. The Vivint Solar acquisition in 2020 consolidated market leadership. AI Deployment (0/2): Sunrun hired an AI/ML head (Rachit Srivastava) in September 2023 to lead data analytics, but no AI-powered products have shipped to customers and no quantified AI-driven cost savings have been reported [3]. The company's AI strategy remains exploratory. Market Share (2/2): Sunrun is the undisputed leader in U.S. residential solar by customer count (900K+), significantly larger than nearest competitors, with the largest fleet of solar+storage assets in the country [1]. Product Pipeline (1/2): VPP programs are expanding with utility partnerships, and storage attachment rates continue growing, but no breakthrough next-generation product with specific launch dates has been announced. R&amp;D Intensity (0/1): Sunrun is primarily a financial and installation company, not a technology developer — R&amp;D spending is minimal relative to revenue, as the company deploys third-party panels and inverters rather than developing proprietary hardware.</w:t>
      </w:r>
    </w:p>
    <w:p>
      <w:pPr>
        <w:spacing w:before="200" w:after="40"/>
      </w:pPr>
      <w:r>
        <w:rPr>
          <w:rFonts w:ascii="Calibri" w:hAnsi="Calibri"/>
          <w:b/>
          <w:color w:val="1A2010"/>
          <w:sz w:val="22"/>
        </w:rPr>
        <w:t>Inspiration</w:t>
      </w:r>
      <w:r>
        <w:rPr>
          <w:rFonts w:ascii="Calibri" w:hAnsi="Calibri"/>
          <w:b w:val="0"/>
          <w:color w:val="1A2010"/>
          <w:sz w:val="22"/>
        </w:rPr>
        <w:t xml:space="preserve">  </w:t>
      </w:r>
      <w:r>
        <w:rPr>
          <w:rFonts w:ascii="Calibri" w:hAnsi="Calibri"/>
          <w:b/>
          <w:color w:val="B8860B"/>
          <w:sz w:val="16"/>
        </w:rPr>
        <w:t xml:space="preserve"> DEVELOPING </w:t>
      </w:r>
    </w:p>
    <w:p>
      <w:pPr>
        <w:spacing w:before="0" w:after="40"/>
      </w:pPr>
      <w:r>
        <w:rPr>
          <w:rFonts w:ascii="Calibri" w:hAnsi="Calibri"/>
          <w:b/>
          <w:color w:val="B8860B"/>
          <w:sz w:val="28"/>
        </w:rPr>
        <w:t>4</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205"/>
            <w:shd w:fill="B8860B" w:val="clear"/>
          </w:tcPr>
          <w:p>
            <w:pPr>
              <w:spacing w:before="0" w:after="0"/>
            </w:pPr>
            <w:r>
              <w:rPr>
                <w:rFonts w:ascii="Calibri" w:hAnsi="Calibri"/>
                <w:b w:val="0"/>
                <w:color w:val="1A2010"/>
                <w:sz w:val="4"/>
              </w:rPr>
            </w:r>
          </w:p>
        </w:tc>
        <w:tc>
          <w:tcPr>
            <w:tcW w:type="dxa" w:w="3307"/>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Mission Floor (3/4): Sunrun's mission to 'create a planet run by the sun' is specific, idealistic, and service-oriented — it describes a future state that does not yet exist and connects the company's work to planetary sustainability [3]. The mission shapes strategic decisions (investing in storage, VPP, and grid services rather than just selling panels) and differentiates from pure financial engineering competitors. Falls short of a 4 because the mission hasn't been validated through decades of execution or survived a genuine crisis. Community Impact (1/2): Sunrun's Impact Report claims prevention of 8.1M+ metric tons of carbon emissions, and the company serves some low-income communities through community solar programs [4]. ESG metrics comprise 30% of executive cash bonus weighting. However, no distinctive foundation or major charitable program beyond the environmental impact inherent in the business model. Employee Retention (0/2): No specific voluntary turnover or average tenure data publicly available. Insider Buying (0/2): No evidence of meaningful net insider buying by CEO Mary Powell or senior executives in the last 12 months.</w:t>
      </w:r>
    </w:p>
    <w:p>
      <w:pPr>
        <w:spacing w:before="200" w:after="40"/>
      </w:pPr>
      <w:r>
        <w:rPr>
          <w:rFonts w:ascii="Calibri" w:hAnsi="Calibri"/>
          <w:b/>
          <w:color w:val="1A2010"/>
          <w:sz w:val="22"/>
        </w:rPr>
        <w:t>Infrastructure</w:t>
      </w:r>
      <w:r>
        <w:rPr>
          <w:rFonts w:ascii="Calibri" w:hAnsi="Calibri"/>
          <w:b w:val="0"/>
          <w:color w:val="1A2010"/>
          <w:sz w:val="22"/>
        </w:rPr>
        <w:t xml:space="preserve">  </w:t>
      </w:r>
      <w:r>
        <w:rPr>
          <w:rFonts w:ascii="Calibri" w:hAnsi="Calibri"/>
          <w:b/>
          <w:color w:val="B8860B"/>
          <w:sz w:val="16"/>
        </w:rPr>
        <w:t xml:space="preserve"> DEVELOPING </w:t>
      </w:r>
    </w:p>
    <w:p>
      <w:pPr>
        <w:spacing w:before="0" w:after="40"/>
      </w:pPr>
      <w:r>
        <w:rPr>
          <w:rFonts w:ascii="Calibri" w:hAnsi="Calibri"/>
          <w:b/>
          <w:color w:val="B8860B"/>
          <w:sz w:val="28"/>
        </w:rPr>
        <w:t>5</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756"/>
            <w:shd w:fill="B8860B" w:val="clear"/>
          </w:tcPr>
          <w:p>
            <w:pPr>
              <w:spacing w:before="0" w:after="0"/>
            </w:pPr>
            <w:r>
              <w:rPr>
                <w:rFonts w:ascii="Calibri" w:hAnsi="Calibri"/>
                <w:b w:val="0"/>
                <w:color w:val="1A2010"/>
                <w:sz w:val="4"/>
              </w:rPr>
            </w:r>
          </w:p>
        </w:tc>
        <w:tc>
          <w:tcPr>
            <w:tcW w:type="dxa" w:w="2756"/>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Mechanically scored as a Growth stock. Sunrun's financial profile is defined by extreme leverage offset by strong revenue growth and reasonable valuation: D/E of 292.5% barely below the 300% floor (score 0.03) reflects $15.2B in solar lease obligations, and ROE of -19.9% (score 0.0, 2x weight) is negative despite positive GAAP earnings ($1.48 EPS) because shareholder equity is negative [1][2]. Revenue growth is the bright spot — 52.8% YoY (score 1.0) driven by the storage sale transaction structure, though the 5-year CAGR of ~11% (score 1.0, 2x weight) reflects the revenue decline in FY2023-2024 before recovery. Forward P/E of 11.7 (score 1.0) is attractive, but PEG of 3.07 at the floor (score 0.0, 2x weight) indicates the market prices in minimal growth beyond current earnings. Profit margin of 11.6% (score 0.58) is positive but below the 20% target. Free cash flow remains deeply negative at -$1.97B. Daily dollar volume of $63.9M provides adequate liquidity. Weighted sum: 4.61/10 = 5.</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FINITE VS INFINITE GAME — SINEK (25%)</w:t>
            </w:r>
          </w:p>
        </w:tc>
      </w:tr>
    </w:tbl>
    <w:p>
      <w:pPr>
        <w:spacing w:after="40"/>
      </w:pPr>
      <w:r>
        <w:rPr>
          <w:rFonts w:ascii="Calibri" w:hAnsi="Calibri"/>
          <w:b w:val="0"/>
          <w:color w:val="6E8450"/>
          <w:sz w:val="22"/>
        </w:rPr>
        <w:t xml:space="preserve">Mindset: </w:t>
      </w:r>
      <w:r>
        <w:rPr>
          <w:rFonts w:ascii="Calibri" w:hAnsi="Calibri"/>
          <w:b/>
          <w:color w:val="B8860B"/>
          <w:sz w:val="22"/>
        </w:rPr>
        <w:t>MIXED</w:t>
      </w:r>
      <w:r>
        <w:rPr>
          <w:rFonts w:ascii="Calibri" w:hAnsi="Calibri"/>
          <w:b w:val="0"/>
          <w:color w:val="6E8450"/>
          <w:sz w:val="22"/>
        </w:rPr>
        <w:t xml:space="preserve">      Overall: </w:t>
      </w:r>
      <w:r>
        <w:rPr>
          <w:rFonts w:ascii="Calibri" w:hAnsi="Calibri"/>
          <w:b/>
          <w:color w:val="B8860B"/>
          <w:sz w:val="28"/>
        </w:rPr>
        <w:t>5</w:t>
      </w:r>
      <w:r>
        <w:rPr>
          <w:rFonts w:ascii="Calibri" w:hAnsi="Calibri"/>
          <w:b w:val="0"/>
          <w:color w:val="9DAF88"/>
          <w:sz w:val="18"/>
        </w:rPr>
        <w:t xml:space="preserve"> /10</w:t>
      </w:r>
    </w:p>
    <w:p>
      <w:pPr>
        <w:spacing w:after="120"/>
      </w:pPr>
      <w:r>
        <w:rPr>
          <w:rFonts w:ascii="Calibri" w:hAnsi="Calibri"/>
          <w:b w:val="0"/>
          <w:color w:val="3A4A28"/>
          <w:sz w:val="18"/>
        </w:rPr>
        <w:t>Sunrun plays a mixed game — the mission to 'create a planet run by the sun' articulates a genuine Just Cause, and the company has invested through painful interest rate and policy headwinds. However, the sales-driven culture, reliance on financial engineering (lease structures, third-party sale transactions), and absence of multi-decade execution history prevent higher scoring. Sinek would appreciate the environmental cause but question whether the company is built to endure through a fundamental business model challenge.</w:t>
      </w:r>
    </w:p>
    <w:p>
      <w:pPr>
        <w:spacing w:before="200" w:after="40"/>
      </w:pPr>
      <w:r>
        <w:rPr>
          <w:rFonts w:ascii="Calibri" w:hAnsi="Calibri"/>
          <w:b/>
          <w:color w:val="1A2010"/>
          <w:sz w:val="22"/>
        </w:rPr>
        <w:t>Just Cause</w:t>
      </w:r>
    </w:p>
    <w:p>
      <w:pPr>
        <w:spacing w:before="0" w:after="40"/>
      </w:pPr>
      <w:r>
        <w:rPr>
          <w:rFonts w:ascii="Calibri" w:hAnsi="Calibri"/>
          <w:b/>
          <w:color w:val="16A34A"/>
          <w:sz w:val="28"/>
        </w:rPr>
        <w:t>7</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858"/>
            <w:shd w:fill="16A34A" w:val="clear"/>
          </w:tcPr>
          <w:p>
            <w:pPr>
              <w:spacing w:before="0" w:after="0"/>
            </w:pPr>
            <w:r>
              <w:rPr>
                <w:rFonts w:ascii="Calibri" w:hAnsi="Calibri"/>
                <w:b w:val="0"/>
                <w:color w:val="1A2010"/>
                <w:sz w:val="4"/>
              </w:rPr>
            </w:r>
          </w:p>
        </w:tc>
        <w:tc>
          <w:tcPr>
            <w:tcW w:type="dxa" w:w="1654"/>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Just Cause (2/3): 'Create a planet run by the sun' is inclusive, idealistic, and service-oriented — it describes a future state that benefits humanity and cannot be fully achieved. The cause shapes strategic decisions: investing in storage, VPP, and grid services extends the solar vision beyond panel installation [1]. However, the cause hasn't survived a true existential test — the company cut guidance in Q2 2026 amid affiliate volume declines and the Freedom Forever bankruptcy, and it's unclear whether leadership would sacrifice near-term performance to advance the cause [2].</w:t>
      </w:r>
    </w:p>
    <w:p>
      <w:pPr>
        <w:spacing w:before="200" w:after="40"/>
      </w:pPr>
      <w:r>
        <w:rPr>
          <w:rFonts w:ascii="Calibri" w:hAnsi="Calibri"/>
          <w:b/>
          <w:color w:val="1A2010"/>
          <w:sz w:val="22"/>
        </w:rPr>
        <w:t>Trusting Teams</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Trusting Teams (1/2): Sunrun employs 9,059 people with stable leadership under CEO Mary Powell. No evidence of mass layoffs, fear-based management, or major cultural controversies. The sales organization is large and typical for the residential solar industry. No specific voluntary turnover or average tenure data available to distinguish from industry norms.</w:t>
      </w:r>
    </w:p>
    <w:p>
      <w:pPr>
        <w:spacing w:before="200" w:after="40"/>
      </w:pPr>
      <w:r>
        <w:rPr>
          <w:rFonts w:ascii="Calibri" w:hAnsi="Calibri"/>
          <w:b/>
          <w:color w:val="1A2010"/>
          <w:sz w:val="22"/>
        </w:rPr>
        <w:t>Worthy Rivals</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Worthy Rivals (0/1): Sunrun's competitive language focuses on market leadership and scale advantages rather than learning from competitors. Management does not publicly acknowledge rivals' strengths — Tesla Energy's brand power, Enphase's technology leadership, or European solar markets' advanced grid integration — as inspirations for improvement.</w:t>
      </w:r>
    </w:p>
    <w:p>
      <w:pPr>
        <w:spacing w:before="200" w:after="40"/>
      </w:pPr>
      <w:r>
        <w:rPr>
          <w:rFonts w:ascii="Calibri" w:hAnsi="Calibri"/>
          <w:b/>
          <w:color w:val="1A2010"/>
          <w:sz w:val="22"/>
        </w:rPr>
        <w:t>Existential Flexibility</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Existential Flexibility (1/2): Sunrun has evolved from a pure solar installer/lessor to a solar+storage+grid services platform, with VPP programs representing a new business model that monetizes the installed fleet as a distributed energy asset [1]. The Vivint Solar acquisition consolidated the market. These are meaningful extensions but incremental — the core lease/PPA financial model remains unchanged, and the third-party sale transaction structure is financial innovation rather than business model transformation.</w:t>
      </w:r>
    </w:p>
    <w:p>
      <w:pPr>
        <w:spacing w:before="200" w:after="40"/>
      </w:pPr>
      <w:r>
        <w:rPr>
          <w:rFonts w:ascii="Calibri" w:hAnsi="Calibri"/>
          <w:b/>
          <w:color w:val="1A2010"/>
          <w:sz w:val="22"/>
        </w:rPr>
        <w:t>Courage To Lead</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Courage to Lead (1/2): Sunrun continued investing in storage and VPP capabilities during the 2023-2024 interest rate shock that crushed solar industry economics, maintaining R&amp;D and market position when competitors like Freedom Forever went bankrupt [1][2]. CEO Mary Powell's leadership through the NEM 3.0 transition in California showed willingness to adapt rather than retreat. However, the Q2 2026 guidance cut to $200-375M in cash generation (from $250-450M) and reliance on financial engineering (third-party sale structures inflating revenue) suggest short-term financial management over long-term capability building.</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INVESTMENT THESIS</w:t>
            </w:r>
          </w:p>
        </w:tc>
      </w:tr>
    </w:tbl>
    <w:p>
      <w:pPr>
        <w:spacing w:after="120"/>
      </w:pPr>
      <w:r>
        <w:rPr>
          <w:rFonts w:ascii="Calibri" w:hAnsi="Calibri"/>
          <w:b w:val="0"/>
          <w:color w:val="3A4A28"/>
          <w:sz w:val="20"/>
        </w:rPr>
        <w:t>Sunrun at $7.64 with a $1.8B market cap is the dominant U.S. residential solar platform trading at a distressed valuation — 5.2x trailing earnings and 11.7x forward earnings despite 52.8% revenue growth in Q2 2026 to $870M [1][2]. The company's 900K+ customer fleet is the largest distributed energy asset in the country, increasingly monetizable through VPP programs and grid services as utilities seek flexible capacity. Storage attachment rates continue rising, and the energy storage system sales channel (up 193% in Q2) is diversifying revenue beyond traditional lease economics. With 8.1M+ metric tons of carbon emissions prevented and 30% of executive compensation tied to ESG metrics, Sunrun is positioned to benefit from the long-term secular shift toward distributed solar+storage as electricity demand surges from AI data centers and electrification [4].</w:t>
      </w:r>
    </w:p>
    <w:p>
      <w:pPr>
        <w:spacing w:after="120"/>
      </w:pPr>
      <w:r>
        <w:rPr>
          <w:rFonts w:ascii="Calibri" w:hAnsi="Calibri"/>
          <w:b w:val="0"/>
          <w:color w:val="3A4A28"/>
          <w:sz w:val="20"/>
        </w:rPr>
        <w:t>The bear case is severe and immediate. Sunrun's balance sheet carries $15.2B in debt against $726M in cash, producing negative shareholder equity and -19.9% ROE — the stock has fallen from $60+ in 2021 to $7.64, destroying 87% of shareholder value [1]. Free cash flow is deeply negative at -$1.97B, and management cut FY2026 cash generation guidance to $200-375M from $250-450M, citing weaker affiliate volumes (down 70%+ YoY in Q2), the Freedom Forever bankruptcy, direct-sales ramp costs, and higher interest rates [2]. The 52.8% revenue growth is misleading — it's driven by a third-party storage sale transaction structure that began in Q3 2025, not organic customer growth. Muddy Waters' short thesis targeting Sunrun's financial model has not been fully resolved. The PEG ratio of 3.07 suggests the market expects growth to decelerate sharply, and with forward EPS of only $0.65 (down 56% from TTM $1.48), earnings are declining even as revenue inflates [2].</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KEY CATALYSTS</w:t>
            </w:r>
          </w:p>
        </w:tc>
      </w:tr>
    </w:tbl>
    <w:p>
      <w:pPr>
        <w:spacing w:before="40" w:after="40"/>
        <w:ind w:left="283"/>
      </w:pPr>
      <w:r>
        <w:rPr>
          <w:rFonts w:ascii="Calibri" w:hAnsi="Calibri"/>
          <w:b/>
          <w:color w:val="4A6B25"/>
          <w:sz w:val="20"/>
        </w:rPr>
        <w:t xml:space="preserve">1. </w:t>
      </w:r>
      <w:r>
        <w:rPr>
          <w:rFonts w:ascii="Calibri" w:hAnsi="Calibri"/>
          <w:b w:val="0"/>
          <w:color w:val="3A4A28"/>
          <w:sz w:val="20"/>
        </w:rPr>
        <w:t>Virtual power plant programs scaling as utilities seek distributed energy resources for grid reliability — Sunrun's 900K+ customer fleet represents the largest VPP-capable asset in the U.S., with growing revenue from grid services contracts [1]</w:t>
      </w:r>
    </w:p>
    <w:p>
      <w:pPr>
        <w:spacing w:before="40" w:after="40"/>
        <w:ind w:left="283"/>
      </w:pPr>
      <w:r>
        <w:rPr>
          <w:rFonts w:ascii="Calibri" w:hAnsi="Calibri"/>
          <w:b/>
          <w:color w:val="4A6B25"/>
          <w:sz w:val="20"/>
        </w:rPr>
        <w:t xml:space="preserve">2. </w:t>
      </w:r>
      <w:r>
        <w:rPr>
          <w:rFonts w:ascii="Calibri" w:hAnsi="Calibri"/>
          <w:b w:val="0"/>
          <w:color w:val="3A4A28"/>
          <w:sz w:val="20"/>
        </w:rPr>
        <w:t>Storage attachment rates rising as battery costs decline and homeowner demand for energy resilience grows — storage-attached systems generate 40-60% higher lifetime value per customer and drive the energy systems revenue channel [2]</w:t>
      </w:r>
    </w:p>
    <w:p>
      <w:pPr>
        <w:spacing w:before="40" w:after="40"/>
        <w:ind w:left="283"/>
      </w:pPr>
      <w:r>
        <w:rPr>
          <w:rFonts w:ascii="Calibri" w:hAnsi="Calibri"/>
          <w:b/>
          <w:color w:val="4A6B25"/>
          <w:sz w:val="20"/>
        </w:rPr>
        <w:t xml:space="preserve">3. </w:t>
      </w:r>
      <w:r>
        <w:rPr>
          <w:rFonts w:ascii="Calibri" w:hAnsi="Calibri"/>
          <w:b w:val="0"/>
          <w:color w:val="3A4A28"/>
          <w:sz w:val="20"/>
        </w:rPr>
        <w:t>AI data center electricity demand surge increasing national power consumption, benefiting distributed solar+storage as a grid-edge generation source and driving policy support for residential renewables [4]</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DC2626"/>
            </w:tcBorders>
          </w:tcPr>
          <w:p>
            <w:pPr>
              <w:spacing w:before="240" w:after="80"/>
            </w:pPr>
            <w:r>
              <w:rPr>
                <w:rFonts w:ascii="Calibri" w:hAnsi="Calibri"/>
                <w:b/>
                <w:color w:val="6E8450"/>
                <w:sz w:val="17"/>
              </w:rPr>
              <w:t>KEY RISKS</w:t>
            </w:r>
          </w:p>
        </w:tc>
      </w:tr>
    </w:tbl>
    <w:p>
      <w:pPr>
        <w:spacing w:before="40" w:after="40"/>
        <w:ind w:left="283"/>
      </w:pPr>
      <w:r>
        <w:rPr>
          <w:rFonts w:ascii="Calibri" w:hAnsi="Calibri"/>
          <w:b/>
          <w:color w:val="4A6B25"/>
          <w:sz w:val="20"/>
        </w:rPr>
        <w:t xml:space="preserve">1. </w:t>
      </w:r>
      <w:r>
        <w:rPr>
          <w:rFonts w:ascii="Calibri" w:hAnsi="Calibri"/>
          <w:b w:val="0"/>
          <w:color w:val="3A4A28"/>
          <w:sz w:val="20"/>
        </w:rPr>
        <w:t>Balance sheet fragility with $15.2B in debt, negative equity, -$1.97B free cash flow, and cash generation guidance cut to $200-375M — rising interest rates directly compress the spread on solar leases and PPAs that define the business model [1][2]</w:t>
      </w:r>
    </w:p>
    <w:p>
      <w:pPr>
        <w:spacing w:before="40" w:after="40"/>
        <w:ind w:left="283"/>
      </w:pPr>
      <w:r>
        <w:rPr>
          <w:rFonts w:ascii="Calibri" w:hAnsi="Calibri"/>
          <w:b/>
          <w:color w:val="4A6B25"/>
          <w:sz w:val="20"/>
        </w:rPr>
        <w:t xml:space="preserve">2. </w:t>
      </w:r>
      <w:r>
        <w:rPr>
          <w:rFonts w:ascii="Calibri" w:hAnsi="Calibri"/>
          <w:b w:val="0"/>
          <w:color w:val="3A4A28"/>
          <w:sz w:val="20"/>
        </w:rPr>
        <w:t>Revenue growth artificially inflated by third-party storage sale transaction structure (193% jump in energy systems revenue) masking fundamental weakness — affiliate volume declined 70%+ YoY in Q2, and Freedom Forever's bankruptcy removes a major installation partner [2]</w:t>
      </w:r>
    </w:p>
    <w:p>
      <w:pPr>
        <w:spacing w:before="40" w:after="40"/>
        <w:ind w:left="283"/>
      </w:pPr>
      <w:r>
        <w:rPr>
          <w:rFonts w:ascii="Calibri" w:hAnsi="Calibri"/>
          <w:b/>
          <w:color w:val="4A6B25"/>
          <w:sz w:val="20"/>
        </w:rPr>
        <w:t xml:space="preserve">3. </w:t>
      </w:r>
      <w:r>
        <w:rPr>
          <w:rFonts w:ascii="Calibri" w:hAnsi="Calibri"/>
          <w:b w:val="0"/>
          <w:color w:val="3A4A28"/>
          <w:sz w:val="20"/>
        </w:rPr>
        <w:t>Regulatory risk from NEM 3.0-style net metering reforms spreading beyond California, reducing the economic value proposition for residential solar customers and potentially depressing new customer additions [4]</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AI RESILIENCE (25%)</w:t>
            </w:r>
          </w:p>
        </w:tc>
      </w:tr>
    </w:tbl>
    <w:p>
      <w:pPr>
        <w:spacing w:before="200" w:after="40"/>
      </w:pPr>
      <w:r>
        <w:rPr>
          <w:rFonts w:ascii="Calibri" w:hAnsi="Calibri"/>
          <w:b/>
          <w:color w:val="1A2010"/>
          <w:sz w:val="22"/>
        </w:rPr>
        <w:t>AI Resilience</w:t>
      </w:r>
      <w:r>
        <w:rPr>
          <w:rFonts w:ascii="Calibri" w:hAnsi="Calibri"/>
          <w:b w:val="0"/>
          <w:color w:val="1A2010"/>
          <w:sz w:val="22"/>
        </w:rPr>
        <w:t xml:space="preserve">  </w:t>
      </w:r>
      <w:r>
        <w:rPr>
          <w:rFonts w:ascii="Calibri" w:hAnsi="Calibri"/>
          <w:b/>
          <w:color w:val="16A34A"/>
          <w:sz w:val="16"/>
        </w:rPr>
        <w:t xml:space="preserve"> LOW RISK </w:t>
      </w:r>
    </w:p>
    <w:p>
      <w:pPr>
        <w:spacing w:before="0" w:after="40"/>
      </w:pPr>
      <w:r>
        <w:rPr>
          <w:rFonts w:ascii="Calibri" w:hAnsi="Calibri"/>
          <w:b/>
          <w:color w:val="16A34A"/>
          <w:sz w:val="28"/>
        </w:rPr>
        <w:t>8</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4409"/>
            <w:shd w:fill="16A34A" w:val="clear"/>
          </w:tcPr>
          <w:p>
            <w:pPr>
              <w:spacing w:before="0" w:after="0"/>
            </w:pPr>
            <w:r>
              <w:rPr>
                <w:rFonts w:ascii="Calibri" w:hAnsi="Calibri"/>
                <w:b w:val="0"/>
                <w:color w:val="1A2010"/>
                <w:sz w:val="4"/>
              </w:rPr>
            </w:r>
          </w:p>
        </w:tc>
        <w:tc>
          <w:tcPr>
            <w:tcW w:type="dxa" w:w="1102"/>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AI Risk Protection (8/9): Sunrun's core business — physically installing solar panels and batteries on residential rooftops — is structurally immune to AI substitution. The business requires electricians, permitting, physical labor, and local regulatory expertise that AI cannot replace [1]. AI is purely an enabler: route optimization, system design automation, customer acquisition targeting, and grid services optimization all benefit from AI without creating substitution risk. The financial complexity of solar leases and PPAs involves regulated processes with deep switching costs. Utility-scale VPP programs require physical infrastructure and regulatory relationships that create additional moats. Demand for solar+storage may actually increase as AI data centers drive electricity consumption growth. AI Opportunity (0/1): While Sunrun hired an AI/ML lead in 2023, no AI-powered products generate quantifiable revenue and no specific AI-driven operational savings have been reported publicly [3].</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FAITH ALIGNMENT — INSPIRE INSIGHT</w:t>
            </w:r>
          </w:p>
        </w:tc>
      </w:tr>
    </w:tbl>
    <w:p>
      <w:pPr>
        <w:spacing w:after="40"/>
      </w:pPr>
      <w:r>
        <w:rPr>
          <w:rFonts w:ascii="Calibri" w:hAnsi="Calibri"/>
          <w:b w:val="0"/>
          <w:color w:val="6E8450"/>
          <w:sz w:val="22"/>
        </w:rPr>
        <w:t xml:space="preserve">Inspire Impact Score:  </w:t>
      </w:r>
      <w:r>
        <w:rPr>
          <w:rFonts w:ascii="Calibri" w:hAnsi="Calibri"/>
          <w:b/>
          <w:color w:val="DC2626"/>
          <w:sz w:val="28"/>
        </w:rPr>
        <w:t>-67</w:t>
      </w:r>
      <w:r>
        <w:rPr>
          <w:rFonts w:ascii="Calibri" w:hAnsi="Calibri"/>
          <w:b/>
          <w:color w:val="B8860B"/>
          <w:sz w:val="20"/>
        </w:rPr>
        <w:t xml:space="preserve">    MISALIGNED</w:t>
      </w:r>
    </w:p>
    <w:p>
      <w:pPr>
        <w:spacing w:before="80" w:after="40"/>
      </w:pPr>
      <w:r>
        <w:rPr>
          <w:rFonts w:ascii="Calibri" w:hAnsi="Calibri"/>
          <w:b/>
          <w:color w:val="6E8450"/>
          <w:sz w:val="18"/>
        </w:rPr>
        <w:t xml:space="preserve">Negative: </w:t>
      </w:r>
      <w:r>
        <w:rPr>
          <w:rFonts w:ascii="Calibri" w:hAnsi="Calibri"/>
          <w:b/>
          <w:color w:val="DC2626"/>
          <w:sz w:val="17"/>
        </w:rPr>
        <w:t xml:space="preserve"> Abortion Activism </w:t>
      </w:r>
      <w:r>
        <w:rPr>
          <w:rFonts w:ascii="Calibri" w:hAnsi="Calibri"/>
          <w:b w:val="0"/>
          <w:color w:val="9DAF88"/>
          <w:sz w:val="17"/>
        </w:rPr>
        <w:t xml:space="preserve">  ·  </w:t>
      </w:r>
      <w:r>
        <w:rPr>
          <w:rFonts w:ascii="Calibri" w:hAnsi="Calibri"/>
          <w:b/>
          <w:color w:val="DC2626"/>
          <w:sz w:val="17"/>
        </w:rPr>
        <w:t xml:space="preserve"> LGBT Activism </w:t>
      </w:r>
    </w:p>
    <w:p>
      <w:pPr>
        <w:spacing w:before="80" w:after="40"/>
      </w:pPr>
      <w:r>
        <w:rPr>
          <w:rFonts w:ascii="Calibri" w:hAnsi="Calibri"/>
          <w:b/>
          <w:color w:val="6E8450"/>
          <w:sz w:val="18"/>
        </w:rPr>
        <w:t xml:space="preserve">Positive: </w:t>
      </w:r>
      <w:r>
        <w:rPr>
          <w:rFonts w:ascii="Calibri" w:hAnsi="Calibri"/>
          <w:b/>
          <w:color w:val="16A34A"/>
          <w:sz w:val="17"/>
        </w:rPr>
        <w:t xml:space="preserve"> Air Quality </w:t>
      </w:r>
      <w:r>
        <w:rPr>
          <w:rFonts w:ascii="Calibri" w:hAnsi="Calibri"/>
          <w:b w:val="0"/>
          <w:color w:val="9DAF88"/>
          <w:sz w:val="17"/>
        </w:rPr>
        <w:t xml:space="preserve">  ·  </w:t>
      </w:r>
      <w:r>
        <w:rPr>
          <w:rFonts w:ascii="Calibri" w:hAnsi="Calibri"/>
          <w:b/>
          <w:color w:val="16A34A"/>
          <w:sz w:val="17"/>
        </w:rPr>
        <w:t xml:space="preserve"> Business Resilience </w:t>
      </w:r>
      <w:r>
        <w:rPr>
          <w:rFonts w:ascii="Calibri" w:hAnsi="Calibri"/>
          <w:b w:val="0"/>
          <w:color w:val="9DAF88"/>
          <w:sz w:val="17"/>
        </w:rPr>
        <w:t xml:space="preserve">  ·  </w:t>
      </w:r>
      <w:r>
        <w:rPr>
          <w:rFonts w:ascii="Calibri" w:hAnsi="Calibri"/>
          <w:b/>
          <w:color w:val="16A34A"/>
          <w:sz w:val="17"/>
        </w:rPr>
        <w:t xml:space="preserve"> Employee Wellbeing </w:t>
      </w:r>
      <w:r>
        <w:rPr>
          <w:rFonts w:ascii="Calibri" w:hAnsi="Calibri"/>
          <w:b w:val="0"/>
          <w:color w:val="9DAF88"/>
          <w:sz w:val="17"/>
        </w:rPr>
        <w:t xml:space="preserve">  ·  </w:t>
      </w:r>
      <w:r>
        <w:rPr>
          <w:rFonts w:ascii="Calibri" w:hAnsi="Calibri"/>
          <w:b/>
          <w:color w:val="16A34A"/>
          <w:sz w:val="17"/>
        </w:rPr>
        <w:t xml:space="preserve"> Energy Management </w:t>
      </w:r>
      <w:r>
        <w:rPr>
          <w:rFonts w:ascii="Calibri" w:hAnsi="Calibri"/>
          <w:b w:val="0"/>
          <w:color w:val="9DAF88"/>
          <w:sz w:val="17"/>
        </w:rPr>
        <w:t xml:space="preserve">  ·  </w:t>
      </w:r>
      <w:r>
        <w:rPr>
          <w:rFonts w:ascii="Calibri" w:hAnsi="Calibri"/>
          <w:b/>
          <w:color w:val="16A34A"/>
          <w:sz w:val="17"/>
        </w:rPr>
        <w:t xml:space="preserve"> Environmental Risk Mitigation </w:t>
      </w:r>
      <w:r>
        <w:rPr>
          <w:rFonts w:ascii="Calibri" w:hAnsi="Calibri"/>
          <w:b w:val="0"/>
          <w:color w:val="9DAF88"/>
          <w:sz w:val="17"/>
        </w:rPr>
        <w:t xml:space="preserve">  ·  </w:t>
      </w:r>
      <w:r>
        <w:rPr>
          <w:rFonts w:ascii="Calibri" w:hAnsi="Calibri"/>
          <w:b/>
          <w:color w:val="16A34A"/>
          <w:sz w:val="17"/>
        </w:rPr>
        <w:t xml:space="preserve"> Ethical Supply Chain Management </w:t>
      </w:r>
      <w:r>
        <w:rPr>
          <w:rFonts w:ascii="Calibri" w:hAnsi="Calibri"/>
          <w:b w:val="0"/>
          <w:color w:val="9DAF88"/>
          <w:sz w:val="17"/>
        </w:rPr>
        <w:t xml:space="preserve">  ·  </w:t>
      </w:r>
      <w:r>
        <w:rPr>
          <w:rFonts w:ascii="Calibri" w:hAnsi="Calibri"/>
          <w:b/>
          <w:color w:val="16A34A"/>
          <w:sz w:val="17"/>
        </w:rPr>
        <w:t xml:space="preserve"> GHG Emissions </w:t>
      </w:r>
      <w:r>
        <w:rPr>
          <w:rFonts w:ascii="Calibri" w:hAnsi="Calibri"/>
          <w:b w:val="0"/>
          <w:color w:val="9DAF88"/>
          <w:sz w:val="17"/>
        </w:rPr>
        <w:t xml:space="preserve">  ·  </w:t>
      </w:r>
      <w:r>
        <w:rPr>
          <w:rFonts w:ascii="Calibri" w:hAnsi="Calibri"/>
          <w:b/>
          <w:color w:val="16A34A"/>
          <w:sz w:val="17"/>
        </w:rPr>
        <w:t xml:space="preserve"> Hiring Ethics </w:t>
      </w:r>
      <w:r>
        <w:rPr>
          <w:rFonts w:ascii="Calibri" w:hAnsi="Calibri"/>
          <w:b w:val="0"/>
          <w:color w:val="9DAF88"/>
          <w:sz w:val="17"/>
        </w:rPr>
        <w:t xml:space="preserve">  ·  </w:t>
      </w:r>
      <w:r>
        <w:rPr>
          <w:rFonts w:ascii="Calibri" w:hAnsi="Calibri"/>
          <w:b/>
          <w:color w:val="16A34A"/>
          <w:sz w:val="17"/>
        </w:rPr>
        <w:t xml:space="preserve"> Human Rights </w:t>
      </w:r>
      <w:r>
        <w:rPr>
          <w:rFonts w:ascii="Calibri" w:hAnsi="Calibri"/>
          <w:b w:val="0"/>
          <w:color w:val="9DAF88"/>
          <w:sz w:val="17"/>
        </w:rPr>
        <w:t xml:space="preserve">  ·  </w:t>
      </w:r>
      <w:r>
        <w:rPr>
          <w:rFonts w:ascii="Calibri" w:hAnsi="Calibri"/>
          <w:b/>
          <w:color w:val="16A34A"/>
          <w:sz w:val="17"/>
        </w:rPr>
        <w:t xml:space="preserve"> Low Ecological Impact </w:t>
      </w:r>
      <w:r>
        <w:rPr>
          <w:rFonts w:ascii="Calibri" w:hAnsi="Calibri"/>
          <w:b w:val="0"/>
          <w:color w:val="9DAF88"/>
          <w:sz w:val="17"/>
        </w:rPr>
        <w:t xml:space="preserve">  ·  </w:t>
      </w:r>
      <w:r>
        <w:rPr>
          <w:rFonts w:ascii="Calibri" w:hAnsi="Calibri"/>
          <w:b/>
          <w:color w:val="16A34A"/>
          <w:sz w:val="17"/>
        </w:rPr>
        <w:t xml:space="preserve"> Materials Efficiency </w:t>
      </w:r>
      <w:r>
        <w:rPr>
          <w:rFonts w:ascii="Calibri" w:hAnsi="Calibri"/>
          <w:b w:val="0"/>
          <w:color w:val="9DAF88"/>
          <w:sz w:val="17"/>
        </w:rPr>
        <w:t xml:space="preserve">  ·  </w:t>
      </w:r>
      <w:r>
        <w:rPr>
          <w:rFonts w:ascii="Calibri" w:hAnsi="Calibri"/>
          <w:b/>
          <w:color w:val="16A34A"/>
          <w:sz w:val="17"/>
        </w:rPr>
        <w:t xml:space="preserve"> Product Access and Affordability </w:t>
      </w:r>
      <w:r>
        <w:rPr>
          <w:rFonts w:ascii="Calibri" w:hAnsi="Calibri"/>
          <w:b w:val="0"/>
          <w:color w:val="9DAF88"/>
          <w:sz w:val="17"/>
        </w:rPr>
        <w:t xml:space="preserve">  ·  </w:t>
      </w:r>
      <w:r>
        <w:rPr>
          <w:rFonts w:ascii="Calibri" w:hAnsi="Calibri"/>
          <w:b/>
          <w:color w:val="16A34A"/>
          <w:sz w:val="17"/>
        </w:rPr>
        <w:t xml:space="preserve"> Product Sustainability </w:t>
      </w:r>
      <w:r>
        <w:rPr>
          <w:rFonts w:ascii="Calibri" w:hAnsi="Calibri"/>
          <w:b w:val="0"/>
          <w:color w:val="9DAF88"/>
          <w:sz w:val="17"/>
        </w:rPr>
        <w:t xml:space="preserve">  ·  </w:t>
      </w:r>
      <w:r>
        <w:rPr>
          <w:rFonts w:ascii="Calibri" w:hAnsi="Calibri"/>
          <w:b/>
          <w:color w:val="16A34A"/>
          <w:sz w:val="17"/>
        </w:rPr>
        <w:t xml:space="preserve"> Regulatory Adherence </w:t>
      </w:r>
      <w:r>
        <w:rPr>
          <w:rFonts w:ascii="Calibri" w:hAnsi="Calibri"/>
          <w:b w:val="0"/>
          <w:color w:val="9DAF88"/>
          <w:sz w:val="17"/>
        </w:rPr>
        <w:t xml:space="preserve">  ·  </w:t>
      </w:r>
      <w:r>
        <w:rPr>
          <w:rFonts w:ascii="Calibri" w:hAnsi="Calibri"/>
          <w:b/>
          <w:color w:val="16A34A"/>
          <w:sz w:val="17"/>
        </w:rPr>
        <w:t xml:space="preserve"> Waste and Hazmat Management </w:t>
      </w:r>
      <w:r>
        <w:rPr>
          <w:rFonts w:ascii="Calibri" w:hAnsi="Calibri"/>
          <w:b w:val="0"/>
          <w:color w:val="9DAF88"/>
          <w:sz w:val="17"/>
        </w:rPr>
        <w:t xml:space="preserve">  ·  </w:t>
      </w:r>
      <w:r>
        <w:rPr>
          <w:rFonts w:ascii="Calibri" w:hAnsi="Calibri"/>
          <w:b/>
          <w:color w:val="16A34A"/>
          <w:sz w:val="17"/>
        </w:rPr>
        <w:t xml:space="preserve"> Water Conservation </w:t>
      </w:r>
    </w:p>
    <w:p>
      <w:pPr>
        <w:spacing w:before="120"/>
      </w:pPr>
      <w:r>
        <w:rPr>
          <w:rFonts w:ascii="Calibri" w:hAnsi="Calibri"/>
          <w:b w:val="0"/>
          <w:color w:val="9DAF88"/>
          <w:sz w:val="15"/>
        </w:rPr>
        <w:t>Source: Inspire Insight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RESOURCES</w:t>
            </w:r>
          </w:p>
        </w:tc>
      </w:tr>
    </w:tbl>
    <w:p>
      <w:pPr>
        <w:spacing w:before="20" w:after="20"/>
        <w:ind w:left="170"/>
      </w:pPr>
      <w:r>
        <w:rPr>
          <w:rFonts w:ascii="Calibri" w:hAnsi="Calibri"/>
          <w:b/>
          <w:color w:val="4A6B25"/>
          <w:sz w:val="15"/>
        </w:rPr>
        <w:t xml:space="preserve">1. </w:t>
      </w:r>
      <w:r>
        <w:rPr>
          <w:rFonts w:ascii="Calibri" w:hAnsi="Calibri"/>
          <w:b w:val="0"/>
          <w:color w:val="3A4A28"/>
          <w:sz w:val="17"/>
        </w:rPr>
        <w:t>Sunrun Q2 2026 Earnings Release (SEC 8-K) — $870M Revenue (+53% YoY), EPS $0.42, Storage Sales +193%, Guidance Cut to $200-375M Cash Generation, August 2026</w:t>
      </w:r>
    </w:p>
    <w:p>
      <w:pPr>
        <w:spacing w:before="20" w:after="20"/>
        <w:ind w:left="170"/>
      </w:pPr>
      <w:r>
        <w:rPr>
          <w:rFonts w:ascii="Calibri" w:hAnsi="Calibri"/>
          <w:b/>
          <w:color w:val="4A6B25"/>
          <w:sz w:val="15"/>
        </w:rPr>
        <w:t xml:space="preserve">2. </w:t>
      </w:r>
      <w:r>
        <w:rPr>
          <w:rFonts w:ascii="Calibri" w:hAnsi="Calibri"/>
          <w:b w:val="0"/>
          <w:color w:val="3A4A28"/>
          <w:sz w:val="17"/>
        </w:rPr>
        <w:t>Sunrun Q1 2026 Earnings — $722M Revenue (+43% YoY), Net Profit, Affiliate Volume Decline, Renewable Energy Industry, May 2026</w:t>
      </w:r>
    </w:p>
    <w:p>
      <w:pPr>
        <w:spacing w:before="20" w:after="20"/>
        <w:ind w:left="170"/>
      </w:pPr>
      <w:r>
        <w:rPr>
          <w:rFonts w:ascii="Calibri" w:hAnsi="Calibri"/>
          <w:b/>
          <w:color w:val="4A6B25"/>
          <w:sz w:val="15"/>
        </w:rPr>
        <w:t xml:space="preserve">3. </w:t>
      </w:r>
      <w:r>
        <w:rPr>
          <w:rFonts w:ascii="Calibri" w:hAnsi="Calibri"/>
          <w:b w:val="0"/>
          <w:color w:val="3A4A28"/>
          <w:sz w:val="17"/>
        </w:rPr>
        <w:t>Sunrun Leadership &amp; AI Strategy — CEO Mary Powell, AI/ML Hire Rachit Srivastava, Culture of Innovation, TipRanks/Sunrun IR, September 2023</w:t>
      </w:r>
    </w:p>
    <w:p>
      <w:pPr>
        <w:spacing w:before="20" w:after="20"/>
        <w:ind w:left="170"/>
      </w:pPr>
      <w:r>
        <w:rPr>
          <w:rFonts w:ascii="Calibri" w:hAnsi="Calibri"/>
          <w:b/>
          <w:color w:val="4A6B25"/>
          <w:sz w:val="15"/>
        </w:rPr>
        <w:t xml:space="preserve">4. </w:t>
      </w:r>
      <w:r>
        <w:rPr>
          <w:rFonts w:ascii="Calibri" w:hAnsi="Calibri"/>
          <w:b w:val="0"/>
          <w:color w:val="3A4A28"/>
          <w:sz w:val="17"/>
        </w:rPr>
        <w:t>Sunrun ESG &amp; Impact — 8.1M Metric Tons CO2 Prevented, 2022 Impact Report, Muddy Waters Short Report, PV Tech/InvestorPlace, 2022-2026</w:t>
      </w:r>
    </w:p>
    <w:p>
      <w:pPr>
        <w:spacing w:before="400"/>
        <w:jc w:val="center"/>
      </w:pPr>
      <w:r>
        <w:rPr>
          <w:rFonts w:ascii="Calibri" w:hAnsi="Calibri"/>
          <w:b w:val="0"/>
          <w:color w:val="9DAF88"/>
          <w:sz w:val="16"/>
        </w:rPr>
        <w:t>Paradiem, LLC dba Intentional Ownership (“IOWN”) is a registered investment advisor. The information provided is for educational and informational purposes only and does not constitute investment advice.</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