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RWT</w:t>
      </w:r>
      <w:r>
        <w:rPr>
          <w:rFonts w:ascii="Calibri" w:hAnsi="Calibri"/>
          <w:b/>
          <w:color w:val="1A2010"/>
          <w:sz w:val="40"/>
        </w:rPr>
        <w:t xml:space="preserve">  Redwood Trust, Inc.</w:t>
      </w:r>
    </w:p>
    <w:p>
      <w:pPr>
        <w:spacing w:after="120"/>
      </w:pPr>
      <w:r>
        <w:rPr>
          <w:rFonts w:ascii="Calibri" w:hAnsi="Calibri"/>
          <w:b/>
          <w:color w:val="6E8450"/>
          <w:sz w:val="18"/>
        </w:rPr>
        <w:t>DIVIDEND SLEEVE · 2026-09-17 · Inspire: 53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Mortgage · NYSE · United States</w:t>
      </w:r>
    </w:p>
    <w:p>
      <w:pPr>
        <w:spacing w:after="80"/>
      </w:pPr>
      <w:r>
        <w:rPr>
          <w:rFonts w:ascii="Calibri" w:hAnsi="Calibri"/>
          <w:b w:val="0"/>
          <w:color w:val="3A4A28"/>
          <w:sz w:val="20"/>
        </w:rPr>
        <w:t>Redwood Trust, Inc. is a specialty finance company operating through Sequoia Mortgage Banking, CoreVest Mortgage Banking, Redwood Investments, and a runoff Legacy Investments segment. Incorporated in 1994 and headquartered in Mill Valley, California, the company originates, securitizes, and invests in residential and business-purpose (investor) mortgage loans, and under CEO Christopher Abate has been accelerating a strategic shift toward internally originated investments and away from legacy third-party securities.</w:t>
      </w:r>
    </w:p>
    <w:p>
      <w:r>
        <w:rPr>
          <w:rFonts w:ascii="Calibri" w:hAnsi="Calibri"/>
          <w:b/>
          <w:color w:val="6E8450"/>
          <w:sz w:val="18"/>
        </w:rPr>
        <w:t>351 Employees · https://www.redwoodtrust.com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Redwood posted a record $23 billion of combined Mortgage Banking volume in 2025, up 111% YoY, while simultaneously accelerating the wind-down of its non-core Legacy Investments segment — a meaningful strategic repositioning toward an asset-light mortgage banking model via its Sequoia, CoreVest, and Aspire platforms [1][4]. AI Deployment (1/2): Redwood hired Abhinav Asthana as Chief Technology Officer effective November 2025 specifically to expand the company's 'digital capabilities and artificial intelligence footprint' in mortgage technology, though the initiative is too recent to show measurable results [4]. Market Share (1/2): Redwood is a recognized non-agency/jumbo securitization sponsor (Sequoia) and business-purpose lender (CoreVest) but competes against larger, better-capitalized peers including PennyMac and larger bank originators. Product Pipeline (1/2): Expansion of CoreVest and Aspire platforms alongside the new CTO's digital mortgage roadmap provides forward visibility, but concrete product launches were not yet disclosed [4]. R&amp;D Intensity (1/1): The dedicated CTO hire and technology investment signal a genuine, if early-stage, R&amp;D commitment for a company of Redwood's size.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Redwood's stated purpose is 'making quality housing accessible to all American households,' a legitimate housing-affordability mission shared by many mortgage REITs but not uniquely differentiated in messaging or measurable impact disclosure [4]. Community Impact (0/2): No specific community investment, affordable-housing program, or philanthropic disclosure was identified in the research window. Employee Retention (0/2): No employee tenure, turnover, or retention data was identified in public disclosures. Insider Buying (0/2): No evidence of meaningful net insider buying was identified; the stock's -35.9% 52-week decline and FY2025 net loss of $77.0 million make the absence of visible insider buying notable.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Dividend stock. Redwood's mortgage-REIT balance sheet carries extreme leverage (D/E of ~2,940%, reflecting securitized/warehouse debt structures typical of the business model) which floors the D/E metric at zero, and trailing ROE (0.57%) and profit margin (2.19%) are both weak, consistent with a FY2025 GAAP net loss of $77.0 million [1][9]. The offsetting strengths are a very low forward P/E of 3.58 (Q2 2026 EPS turned positive at $0.28 and management guides FY2026 EPS of $1.05) and a genuinely long dividend history — Redwood has paid a dividend every year since 1996, including through the 2008-2009 financial crisis, though the payout has been cut repeatedly (5-year dividend CAGR of approximately -2%) and consecutive years of dividend growth is effectively just 1 [1][6][9]. Liquidity clears the floor easily at roughly $16 million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Redwood's clearest infinite-game evidence is its demonstrated existential flexibility — surviving the 2008 financial crisis and repeated cyclical downturns by cutting its dividend and repositioning its balance sheet rather than collapsing like many mortgage REIT peers — but current-period evidence of community impact, employee trust programs, and courageous leadership communication is thin.</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The housing-accessibility mission is genuine but generic among mortgage REITs, and the company's history of repeated dividend cuts during downturns suggests capital preservation has generally taken precedence over mission continuity when the two are in tension [4][6].</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The CTO hire explicitly tasked with AI and technology expansion is a concrete investment in new capability, but no broader evidence of frontline decision-making authority or employee empowerment programs was found [4].</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Redwood competes against larger-scale non-bank originators and other mortgage REITs (PennyMac, AGNC) in a commoditized capital-markets business, treating scale disadvantage as a reason to specialize in non-agency/jumbo and business-purpose niches (CoreVest) rather than compete head-on [1][4].</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Redwood is one of the few mortgage REITs to survive the 2008 financial crisis intact, having adapted by cutting its dividend from a 2007 peak of $5.00/share to $1.00 rather than pursuing unsustainable payouts, and it continues that adaptive pattern today by shifting away from legacy third-party securities toward internally originated investments [1][6].</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Accelerating the wind-down of the Legacy Investments segment rather than quietly running it off signals a willingness to take a visible, near-term earnings hit in exchange for long-term balance-sheet clarity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Redwood Trust is a specialty mortgage finance company in the midst of a genuine turnaround: FY2025 combined Mortgage Banking volume hit a record $23 billion (+111% YoY), Q2 2026 EPS turned positive at $0.28, and management guides FY2026 EPS of $1.05, all while the company accelerates a shift away from legacy third-party securities toward internally originated Sequoia and CoreVest platform investments [1][6]. The stock trades at a very low forward P/E of 3.58 and an elevated ~18% dividend yield, reflecting either deep undervaluation of the earnings turnaround or market skepticism about payout sustainability given the FY2025 GAAP net loss of $77.0 million [1][9].</w:t>
      </w:r>
    </w:p>
    <w:p>
      <w:pPr>
        <w:spacing w:after="120"/>
      </w:pPr>
      <w:r>
        <w:rPr>
          <w:rFonts w:ascii="Calibri" w:hAnsi="Calibri"/>
          <w:b w:val="0"/>
          <w:color w:val="3A4A28"/>
          <w:sz w:val="20"/>
        </w:rPr>
        <w:t>The Infrastructure score is held down almost entirely by the mechanical scoring algorithm's treatment of mortgage-REIT leverage (D/E near 2,940%) and weak trailing profitability, both of which are structural features of the business model rather than unique red flags, but the dividend's volatile history (5-year CAGR of roughly -2%, only 1 consecutive year of growth) is a legitimate concern for income-focused holders. New CTO-led AI investment in underwriting technology is a credible but unproven lever to close the origination-cost gap with fintech-native competitors.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Mortgage Banking volume growth building on the FY2025 record ($23B, +111% YoY) as Sequoia and CoreVest platforms scale</w:t>
      </w:r>
    </w:p>
    <w:p>
      <w:pPr>
        <w:spacing w:before="40" w:after="40"/>
        <w:ind w:left="283"/>
      </w:pPr>
      <w:r>
        <w:rPr>
          <w:rFonts w:ascii="Calibri" w:hAnsi="Calibri"/>
          <w:b/>
          <w:color w:val="4A6B25"/>
          <w:sz w:val="20"/>
        </w:rPr>
        <w:t xml:space="preserve">2. </w:t>
      </w:r>
      <w:r>
        <w:rPr>
          <w:rFonts w:ascii="Calibri" w:hAnsi="Calibri"/>
          <w:b w:val="0"/>
          <w:color w:val="3A4A28"/>
          <w:sz w:val="20"/>
        </w:rPr>
        <w:t>EPS inflection already underway (Q1/Q2 2026 EPS positive) tracking toward management's $1.05 FY2026 and $1.08 FY2027 guidance</w:t>
      </w:r>
    </w:p>
    <w:p>
      <w:pPr>
        <w:spacing w:before="40" w:after="40"/>
        <w:ind w:left="283"/>
      </w:pPr>
      <w:r>
        <w:rPr>
          <w:rFonts w:ascii="Calibri" w:hAnsi="Calibri"/>
          <w:b/>
          <w:color w:val="4A6B25"/>
          <w:sz w:val="20"/>
        </w:rPr>
        <w:t xml:space="preserve">3. </w:t>
      </w:r>
      <w:r>
        <w:rPr>
          <w:rFonts w:ascii="Calibri" w:hAnsi="Calibri"/>
          <w:b w:val="0"/>
          <w:color w:val="3A4A28"/>
          <w:sz w:val="20"/>
        </w:rPr>
        <w:t>New CTO-led AI and digital mortgage technology investment narrowing the origination-cost gap with fintech-native lenders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balance-sheet leverage inherent to the mortgage REIT model, which mechanically floors the Infrastructure D/E metric and amplifies sensitivity to credit and funding-market stress</w:t>
      </w:r>
    </w:p>
    <w:p>
      <w:pPr>
        <w:spacing w:before="40" w:after="40"/>
        <w:ind w:left="283"/>
      </w:pPr>
      <w:r>
        <w:rPr>
          <w:rFonts w:ascii="Calibri" w:hAnsi="Calibri"/>
          <w:b/>
          <w:color w:val="4A6B25"/>
          <w:sz w:val="20"/>
        </w:rPr>
        <w:t xml:space="preserve">2. </w:t>
      </w:r>
      <w:r>
        <w:rPr>
          <w:rFonts w:ascii="Calibri" w:hAnsi="Calibri"/>
          <w:b w:val="0"/>
          <w:color w:val="3A4A28"/>
          <w:sz w:val="20"/>
        </w:rPr>
        <w:t>Dividend sustainability given a negative 5-year dividend growth CAGR and a payout ratio (~66% of forward EPS) that leaves limited cushion if the earnings recovery stalls</w:t>
      </w:r>
    </w:p>
    <w:p>
      <w:pPr>
        <w:spacing w:before="40" w:after="40"/>
        <w:ind w:left="283"/>
      </w:pPr>
      <w:r>
        <w:rPr>
          <w:rFonts w:ascii="Calibri" w:hAnsi="Calibri"/>
          <w:b/>
          <w:color w:val="4A6B25"/>
          <w:sz w:val="20"/>
        </w:rPr>
        <w:t xml:space="preserve">3. </w:t>
      </w:r>
      <w:r>
        <w:rPr>
          <w:rFonts w:ascii="Calibri" w:hAnsi="Calibri"/>
          <w:b w:val="0"/>
          <w:color w:val="3A4A28"/>
          <w:sz w:val="20"/>
        </w:rPr>
        <w:t>Analyst revenue outlook calling for a roughly 2.7% annual revenue decline over the next three years versus 7.3% industry growth, suggesting Redwood may be losing relative ground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Mortgage banking's data- and document-heavy underwriting, servicing, and securitization workflows are highly automatable, which is a double-edged risk — Redwood must invest continuously to keep pace with AI-native fintech lenders (Rocket, UWM) and could see origination-cost advantages erode if it lags, though the capital-markets/balance-sheet function at Redwood's core is not easily replicated by AI alone [4]. AI Opportunity Tiebreaker (1/1): The November 2025 hire of a CTO explicitly tasked with expanding Redwood's 'artificial intelligence footprint' to enhance functionality and efficiency for customers and employees is a concrete, if unproven, step toward using AI as an enabler in loan processing and underwriting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Redwood Trust Reports Fourth Quarter and Full Year 2025 Financial Results, redwoodtrust.com, 2026</w:t>
      </w:r>
    </w:p>
    <w:p>
      <w:pPr>
        <w:spacing w:before="20" w:after="20"/>
        <w:ind w:left="170"/>
      </w:pPr>
      <w:r>
        <w:rPr>
          <w:rFonts w:ascii="Calibri" w:hAnsi="Calibri"/>
          <w:b/>
          <w:color w:val="4A6B25"/>
          <w:sz w:val="15"/>
        </w:rPr>
        <w:t xml:space="preserve">2. </w:t>
      </w:r>
      <w:r>
        <w:rPr>
          <w:rFonts w:ascii="Calibri" w:hAnsi="Calibri"/>
          <w:b w:val="0"/>
          <w:color w:val="3A4A28"/>
          <w:sz w:val="17"/>
        </w:rPr>
        <w:t>Redwood Trust (RWT) Q1 Earnings: Taking a Look at Key Metrics Versus Estimates, Yahoo Finance, 2026</w:t>
      </w:r>
    </w:p>
    <w:p>
      <w:pPr>
        <w:spacing w:before="20" w:after="20"/>
        <w:ind w:left="170"/>
      </w:pPr>
      <w:r>
        <w:rPr>
          <w:rFonts w:ascii="Calibri" w:hAnsi="Calibri"/>
          <w:b/>
          <w:color w:val="4A6B25"/>
          <w:sz w:val="15"/>
        </w:rPr>
        <w:t xml:space="preserve">3. </w:t>
      </w:r>
      <w:r>
        <w:rPr>
          <w:rFonts w:ascii="Calibri" w:hAnsi="Calibri"/>
          <w:b w:val="0"/>
          <w:color w:val="3A4A28"/>
          <w:sz w:val="17"/>
        </w:rPr>
        <w:t>Redwood Trust (RWT) Q4 Revenue Recovery Tests Bullish Narratives On Turnaround Potential, Simply Wall St News, 2026</w:t>
      </w:r>
    </w:p>
    <w:p>
      <w:pPr>
        <w:spacing w:before="20" w:after="20"/>
        <w:ind w:left="170"/>
      </w:pPr>
      <w:r>
        <w:rPr>
          <w:rFonts w:ascii="Calibri" w:hAnsi="Calibri"/>
          <w:b/>
          <w:color w:val="4A6B25"/>
          <w:sz w:val="15"/>
        </w:rPr>
        <w:t xml:space="preserve">4. </w:t>
      </w:r>
      <w:r>
        <w:rPr>
          <w:rFonts w:ascii="Calibri" w:hAnsi="Calibri"/>
          <w:b w:val="0"/>
          <w:color w:val="3A4A28"/>
          <w:sz w:val="17"/>
        </w:rPr>
        <w:t>Redwood Trust Announces New Hires to Drive Advancements in Technology and Growing Non-Agency Opportunities, BusinessWire/redwoodtrust.com, October 2025</w:t>
      </w:r>
    </w:p>
    <w:p>
      <w:pPr>
        <w:spacing w:before="20" w:after="20"/>
        <w:ind w:left="170"/>
      </w:pPr>
      <w:r>
        <w:rPr>
          <w:rFonts w:ascii="Calibri" w:hAnsi="Calibri"/>
          <w:b/>
          <w:color w:val="4A6B25"/>
          <w:sz w:val="15"/>
        </w:rPr>
        <w:t xml:space="preserve">5. </w:t>
      </w:r>
      <w:r>
        <w:rPr>
          <w:rFonts w:ascii="Calibri" w:hAnsi="Calibri"/>
          <w:b w:val="0"/>
          <w:color w:val="3A4A28"/>
          <w:sz w:val="17"/>
        </w:rPr>
        <w:t>Redwood Trust, Inc. (RWT) Analyst Ratings, Estimates &amp; Forecasts, Yahoo Finance, 2026</w:t>
      </w:r>
    </w:p>
    <w:p>
      <w:pPr>
        <w:spacing w:before="20" w:after="20"/>
        <w:ind w:left="170"/>
      </w:pPr>
      <w:r>
        <w:rPr>
          <w:rFonts w:ascii="Calibri" w:hAnsi="Calibri"/>
          <w:b/>
          <w:color w:val="4A6B25"/>
          <w:sz w:val="15"/>
        </w:rPr>
        <w:t xml:space="preserve">6. </w:t>
      </w:r>
      <w:r>
        <w:rPr>
          <w:rFonts w:ascii="Calibri" w:hAnsi="Calibri"/>
          <w:b w:val="0"/>
          <w:color w:val="3A4A28"/>
          <w:sz w:val="17"/>
        </w:rPr>
        <w:t>yfinance — RWT key statistics and full dividend history,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