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RYAN</w:t>
      </w:r>
      <w:r>
        <w:rPr>
          <w:rFonts w:ascii="Calibri" w:hAnsi="Calibri"/>
          <w:b/>
          <w:color w:val="1A2010"/>
          <w:sz w:val="40"/>
        </w:rPr>
        <w:t xml:space="preserve">  Ryan Specialty Holdings, Inc.</w:t>
      </w:r>
    </w:p>
    <w:p>
      <w:pPr>
        <w:spacing w:after="120"/>
      </w:pPr>
      <w:r>
        <w:rPr>
          <w:rFonts w:ascii="Calibri" w:hAnsi="Calibri"/>
          <w:b/>
          <w:color w:val="6E8450"/>
          <w:sz w:val="18"/>
        </w:rPr>
        <w:t>GROWTH SLEEVE · 2026-09-12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Brokers · NYSE · United States</w:t>
      </w:r>
    </w:p>
    <w:p>
      <w:pPr>
        <w:spacing w:after="80"/>
      </w:pPr>
      <w:r>
        <w:rPr>
          <w:rFonts w:ascii="Calibri" w:hAnsi="Calibri"/>
          <w:b w:val="0"/>
          <w:color w:val="3A4A28"/>
          <w:sz w:val="20"/>
        </w:rPr>
        <w:t>Ryan Specialty Holdings provides specialty insurance distribution, underwriting, product development, administration, and risk management services to insurance brokers, agents, and carriers, operating as a wholesale broker and managing underwriter with delegated carrier authority [1]. Q2 2026 revenue grew 7.2% YoY to $916.6M with adjusted EPS of $0.74 (+12.1%), decelerating from Q1's 15.2% revenue growth as property rate declines and heightened competition pressure the E&amp;S market [2]. Founded in 2010 by Patrick G. Ryan (founder of Aon), headquartered in Chicago; IPO'd on NYSE in July 2021.</w:t>
      </w:r>
    </w:p>
    <w:p>
      <w:r>
        <w:rPr>
          <w:rFonts w:ascii="Calibri" w:hAnsi="Calibri"/>
          <w:b/>
          <w:color w:val="6E8450"/>
          <w:sz w:val="18"/>
        </w:rPr>
        <w:t>6,144 Employees · https://www.ryanspecialty.com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Revenue nearly doubled from $1.43B in 2021 to $3.05B in 2025 (21%+ growth in both 2024 and 2025), and TTM revenue has reached $3.16B through a combination of double-digit organic growth and steady bolt-on acquisitions within the wholesale/specialty broker roll-up model — meaningful scaling but not a business-model transformation [1][2]. AI Deployment (1/2): Ryan Specialty is rolling out AI tools to cut costs and refine risk assessment — AI helps underwriters triage submissions, standardize information capture, and flag outlier risks earlier, supporting more disciplined pricing and consistent portfolio quality [3]. However, no RYAN-specific quantified AI savings or shipped external AI product was identified. Market Share (2/2): RYAN is ranked among the top specialist wholesale brokers in the US, and its 21%+ annual revenue growth in 2024-2025 significantly outpaced underlying P&amp;C market growth, evidencing real share gains in the specialty distribution market [1]. Product Pipeline (0/2): No specific next-generation products with named launch dates were found; FY2026 guidance is limited to mid-single-digit (4-6%) organic growth, not a product roadmap [2]. R&amp;D Intensity (0/1): No R&amp;D spend is disclosed for this services business; no evidence of above-average technology investment relative to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RYAN's stated purpose — to provide 'industry-leading innovative specialty insurance solutions for insurance brokers, agents and carriers' — clearly identifies what the company does and for whom but reads as standard industry boilerplate rather than a distinctive, deeply considered purpose [1]. Community Impact (0/2): No specific foundation, charitable program, or community investment with dollar amounts was found in research. Employee Retention (0/2): Glassdoor shows a 67% recommendation rate and 3.6-3.7/5 on culture and career opportunity, but reviews also cite 'HUGE LAYOFFS, no transparency' and allegations of discrimination and retaliation from local leadership that senior leadership 'disregards' — net negative signal with no retention data to offset [4]. Insider Buying (2/2): Founder and Executive Chairman Patrick G. Ryan personally purchased 120,000 Class A shares (~$3.9M at $32.50 weighted average) during a stock selloff in early 2026, the biggest insider purchase in the last 12 months, plus a director purchase of 25,865 shares in February 2026 — meaningful, specific, dollar-quantified insider conviction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weighting (PEG excluded as unavailable; total weight 8). Liquidity floor easily cleared: 1.30M avg vol x ~$46 = ~$59.8M [6]. ROE of 22.09% clears the 15% target (score 1.0, 2x weight), and 5-year revenue CAGR of 21.3% (from $1.43B in 2021 to $3.16B TTM) far exceeds the 10% target (score 1.0, 2x weight) [1]. Forward P/E of 19.57 is right at the 20x target (score 1.0) and H1 2026 revenue growth of ~11% clears the 10% target (score 1.0) [2][6]. The drags are D/E of 375%, well above the 300% floor (score 0.0), reflecting the leveraged acquisition strategy with $3.81B debt against $140M cash, and trailing GAAP profit margin of 3.13% (score 0.16), depressed by deal-related amortization and stock-based compensation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Ryan Specialty shows real courage in founder Patrick Ryan's decision to build a second insurance giant after already exiting Aon, and his $3.9M insider purchase during a 2026 stock selloff reflects genuine conviction. However, the company's mission reads as standard industry boilerplate rather than a Sinek-style Just Cause, Glassdoor reviews citing 'HUGE LAYOFFS,' lack of transparency, and unaddressed retaliation complaints point to a low-trust environment, and the company's growth strategy is a conventional M&amp;A roll-up rather than purpose-driven reinvention.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RYAN's purpose statement — providing 'industry-leading innovative specialty insurance solutions' — is functional and interchangeable with virtually any specialty insurance peer; it describes the business rather than articulating a service-oriented vision of a better future, and no evidence was found of it shaping strategic decisions beyond normal business operations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specifically describe 'HUGE LAYOFFS, no transparency,' allegations of discrimination and retaliation from local leadership, and claims that senior leadership 'disregards' these allegations — clear low-trust signals [4]. The aggregate 67% recommendation rate suggests experience varies widely by department, but the pattern of unaddressed complaints indicates organizational trust deficits.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in research of RYAN explicitly framing competitors as sources of learning or improvement; the company's public narrative centers on market share leadership and consolidation rather than rival-driven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RYAN has evolved from a pure wholesale broker into a platform spanning underwriting management and delegated binding authority, expanding capabilities through acquisitions into adjacent specialty lines — a real but incremental adjacency rather than a transformative reinvention of the core specialty-brokerage business model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Patrick Ryan building a second major specialty insurance company after already growing and exiting Aon reflects long-term conviction, reinforced by his personal $3.9M open-market share purchase at $32.50 during a 2026 stock selloff — a founder putting capital behind the business when sentiment was weakest, plus a $300M share repurchase program increase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Ryan Specialty is one of the largest independent wholesale/specialty insurance distributors in the US, having grown revenue from $1.43B in 2021 to $3.16B TTM (21%+ annual growth in each of 2024 and 2025) through a mix of strong organic growth and disciplined bolt-on M&amp;A [1]. Q2 2026 delivered revenue of $916.6M (+7.2% YoY) with adjusted EPS of $0.74 (+12.1%), and Q1 2026 was stronger at $795.2M (+15.2% YoY) with adjusted EPS of $0.47 (+20.5%) [2]. Forward P/E of 19.57 represents a reasonable multiple for a business with 21%+ 5-year revenue CAGR and 22% ROE, and founder Patrick Ryan's $3.9M open-market share purchase at $32.50 signals genuine insider conviction [5][6]. The $300M share repurchase increase reflects management confidence in the business trajectory. The Inspire Impact Score of 36 (ALIGNED) makes RYAN accessible to faith-based investors.</w:t>
      </w:r>
    </w:p>
    <w:p>
      <w:pPr>
        <w:spacing w:after="120"/>
      </w:pPr>
      <w:r>
        <w:rPr>
          <w:rFonts w:ascii="Calibri" w:hAnsi="Calibri"/>
          <w:b w:val="0"/>
          <w:color w:val="3A4A28"/>
          <w:sz w:val="20"/>
        </w:rPr>
        <w:t>The bear case has intensified since Q2 2026. Management guided full-year 2026 organic growth down to mid-single digits (4-6%), citing 'worsening property rate declines, heightened competition, and slower market conditions,' a sharp deceleration from the 21%+ growth in 2024-2025 [2]. D/E of 375% reflects heavy leverage from the acquisition-fueled growth strategy ($3.81B debt vs. $140M cash), leaving minimal balance sheet flexibility if specialty/E&amp;S pricing conditions continue to soften [6]. GAAP profit margin of 3.13% is wafer-thin, amplified by deal-related amortization but reflecting real capital intensity in the roll-up model. Barclays cut the price target from $52 to $45 specifically on AI disruption concerns for E&amp;S wholesale brokers, and Glassdoor reviews citing large layoffs and lack of transparency raise organizational trust concerns that could impair talent retention during a critical competitive transition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Stabilization or re-acceleration of organic growth back toward historical double-digit rates if E&amp;S property pricing and competitive intensity normalize, with Q1 2026's 15.2% growth suggesting the deceleration may be temporary [2]</w:t>
      </w:r>
    </w:p>
    <w:p>
      <w:pPr>
        <w:spacing w:before="40" w:after="40"/>
        <w:ind w:left="283"/>
      </w:pPr>
      <w:r>
        <w:rPr>
          <w:rFonts w:ascii="Calibri" w:hAnsi="Calibri"/>
          <w:b/>
          <w:color w:val="4A6B25"/>
          <w:sz w:val="20"/>
        </w:rPr>
        <w:t xml:space="preserve">2. </w:t>
      </w:r>
      <w:r>
        <w:rPr>
          <w:rFonts w:ascii="Calibri" w:hAnsi="Calibri"/>
          <w:b w:val="0"/>
          <w:color w:val="3A4A28"/>
          <w:sz w:val="20"/>
        </w:rPr>
        <w:t>Continued bolt-on M&amp;A execution within the fragmented specialty/wholesale brokerage market, sustaining the 21%+ five-year revenue CAGR that has driven the stock's premium multiple [1]</w:t>
      </w:r>
    </w:p>
    <w:p>
      <w:pPr>
        <w:spacing w:before="40" w:after="40"/>
        <w:ind w:left="283"/>
      </w:pPr>
      <w:r>
        <w:rPr>
          <w:rFonts w:ascii="Calibri" w:hAnsi="Calibri"/>
          <w:b/>
          <w:color w:val="4A6B25"/>
          <w:sz w:val="20"/>
        </w:rPr>
        <w:t xml:space="preserve">3. </w:t>
      </w:r>
      <w:r>
        <w:rPr>
          <w:rFonts w:ascii="Calibri" w:hAnsi="Calibri"/>
          <w:b w:val="0"/>
          <w:color w:val="3A4A28"/>
          <w:sz w:val="20"/>
        </w:rPr>
        <w:t>AI-driven operational efficiency gains from underwriting triage and risk flagging tools could expand adjusted margins, offsetting competitive pricing pressure in the E&amp;S market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guidance of 4-6% organic growth with margin compression (down 100-150bps) signals a genuine deceleration from 21%+ growth, not just conservative guidance — property rate declines and heightened competition may persist [2]</w:t>
      </w:r>
    </w:p>
    <w:p>
      <w:pPr>
        <w:spacing w:before="40" w:after="40"/>
        <w:ind w:left="283"/>
      </w:pPr>
      <w:r>
        <w:rPr>
          <w:rFonts w:ascii="Calibri" w:hAnsi="Calibri"/>
          <w:b/>
          <w:color w:val="4A6B25"/>
          <w:sz w:val="20"/>
        </w:rPr>
        <w:t xml:space="preserve">2. </w:t>
      </w:r>
      <w:r>
        <w:rPr>
          <w:rFonts w:ascii="Calibri" w:hAnsi="Calibri"/>
          <w:b w:val="0"/>
          <w:color w:val="3A4A28"/>
          <w:sz w:val="20"/>
        </w:rPr>
        <w:t>D/E of 375% ($3.81B debt vs. $140M cash) leaves limited balance sheet flexibility for continued M&amp;A if specialty/E&amp;S pricing conditions soften further and cash generation weakens [6]</w:t>
      </w:r>
    </w:p>
    <w:p>
      <w:pPr>
        <w:spacing w:before="40" w:after="40"/>
        <w:ind w:left="283"/>
      </w:pPr>
      <w:r>
        <w:rPr>
          <w:rFonts w:ascii="Calibri" w:hAnsi="Calibri"/>
          <w:b/>
          <w:color w:val="4A6B25"/>
          <w:sz w:val="20"/>
        </w:rPr>
        <w:t xml:space="preserve">3. </w:t>
      </w:r>
      <w:r>
        <w:rPr>
          <w:rFonts w:ascii="Calibri" w:hAnsi="Calibri"/>
          <w:b w:val="0"/>
          <w:color w:val="3A4A28"/>
          <w:sz w:val="20"/>
        </w:rPr>
        <w:t>AI-driven underwriting and submission automation is compressing quote-to-bind cycle times industry-wide, a structural risk to wholesale broker intermediary economics that Barclays has explicitly flagged with a price target cut to $45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Specialty wholesale brokerage retains real defensive moats — carrier relationships, delegated underwriting authority, and regulatory complexity that AI augments rather than replaces, with brokers described as 'increasingly essential to interpret AI model outputs and advise clients on when to override' automated decisions [3]. However, Barclays specifically lowered RYAN's price target from $52 to $45 citing AI disruption concerns, and AI-driven underwriting workflow automation is compressing quote-to-bind cycle times industry-wide, creating real competitive and margin pressure on the submission-intake layer of RYAN's business [3]. The E&amp;S brokerage model's durability may be undervalued at current levels, but the disruption risk to intermediary economics is real and specifically analyst-flagged. AI Opportunity (0/1): No RYAN-specific quantified AI revenue was found; the company is an AI adopter for internal efficiency (submission triage, risk flagging) rather than an AI revenue generator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Ryan Specialty Holdings Revenue History (2021-2026 TTM) and Company Description — MacroTrends, StockAnalysis.com, ir.ryanspecialty.com,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Ryan Specialty Q1 and Q2 2026 Earnings Reports — Revenue $795.2M (+15.2%) Q1 and $916.6M (+7.2%) Q2, Adjusted EPS $0.47/$0.74, Full-Year Guidance 4-6% Organic Growth, Reinsurance News, SEC 8-K, May-July 2026</w:t>
      </w:r>
    </w:p>
    <w:p>
      <w:pPr>
        <w:spacing w:before="20" w:after="20"/>
        <w:ind w:left="170"/>
      </w:pPr>
      <w:r>
        <w:rPr>
          <w:rFonts w:ascii="Calibri" w:hAnsi="Calibri"/>
          <w:b/>
          <w:color w:val="4A6B25"/>
          <w:sz w:val="15"/>
        </w:rPr>
        <w:t xml:space="preserve">3. </w:t>
      </w:r>
      <w:r>
        <w:rPr>
          <w:rFonts w:ascii="Calibri" w:hAnsi="Calibri"/>
          <w:b w:val="0"/>
          <w:color w:val="3A4A28"/>
          <w:sz w:val="17"/>
        </w:rPr>
        <w:t>Ryan Specialty AI Tools, Barclays PT Cut ($52 to $45) on AI Disruption, Insurance Brokerage Automation Trends — Yahoo Finance, Insider Monkey, Insurance Business Magazine, 2026</w:t>
      </w:r>
    </w:p>
    <w:p>
      <w:pPr>
        <w:spacing w:before="20" w:after="20"/>
        <w:ind w:left="170"/>
      </w:pPr>
      <w:r>
        <w:rPr>
          <w:rFonts w:ascii="Calibri" w:hAnsi="Calibri"/>
          <w:b/>
          <w:color w:val="4A6B25"/>
          <w:sz w:val="15"/>
        </w:rPr>
        <w:t xml:space="preserve">4. </w:t>
      </w:r>
      <w:r>
        <w:rPr>
          <w:rFonts w:ascii="Calibri" w:hAnsi="Calibri"/>
          <w:b w:val="0"/>
          <w:color w:val="3A4A28"/>
          <w:sz w:val="17"/>
        </w:rPr>
        <w:t>Ryan Specialty Glassdoor Employee Reviews — Layoffs, Transparency Issues, 67% Recommendation Rate, Glassdoor.com,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Patrick G. Ryan Insider Share Purchases — $3.9M at $32.50 (120K shares), Director Purchase 25,865 Shares, $300M Buyback Increase, StockTitan, Simply Wall St, May-June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 RYAN Key Statistics: Forward P/E 19.57, D/E 375%, ROE 22.09%, Profit Margin 3.13%, Avg Volume 1.3M,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