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SAIL</w:t>
      </w:r>
      <w:r>
        <w:rPr>
          <w:rFonts w:ascii="Calibri" w:hAnsi="Calibri"/>
          <w:b/>
          <w:color w:val="1A2010"/>
          <w:sz w:val="40"/>
        </w:rPr>
        <w:t xml:space="preserve">  SailPoint, Inc.</w:t>
      </w:r>
    </w:p>
    <w:p>
      <w:pPr>
        <w:spacing w:after="120"/>
      </w:pPr>
      <w:r>
        <w:rPr>
          <w:rFonts w:ascii="Calibri" w:hAnsi="Calibri"/>
          <w:b/>
          <w:color w:val="6E8450"/>
          <w:sz w:val="18"/>
        </w:rPr>
        <w:t>GROWTH SLEEVE · 2026-09-06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SailPoint, Inc. is the leader in identity governance and administration (IGA), providing enterprise software that helps organizations govern digital identities across their IT environments. Founded by Mark McClain, the company was taken private by Thoma Bravo in 2022 for $6.9B, then re-IPO'd in January 2025 raising $1.4B. Its Atlas cloud platform provides unified identity security for human and non-human identities, including AI agents. Q1 FY2027 (ended April 2026) delivered $1.163B ARR (+26% YoY), $781M SaaS ARR (+36% YoY), and $280M revenue (+22% YoY). FY2027 guidance calls for $1.369B ARR, $1.27B revenue, 19% adjusted operating margin, and ~$200M free cash flow.</w:t>
      </w:r>
    </w:p>
    <w:p>
      <w:r>
        <w:rPr>
          <w:rFonts w:ascii="Calibri" w:hAnsi="Calibri"/>
          <w:b/>
          <w:color w:val="6E8450"/>
          <w:sz w:val="18"/>
        </w:rPr>
        <w:t>3,229 Employees · https://www.sailpoint.com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SailPoint crossed $1B ARR in FY2026 and delivered Q1 FY2027 ARR of $1.163B (+26% YoY) with SaaS ARR of $781M (+36%), now representing 67% of total ARR [1][2]. During the Thoma Bravo private period (2022-2025), the company completed a wholesale transformation from perpetual-license software to the Atlas multi-tenant SaaS platform [3]. The Entro Security acquisition in 2026 extends governance to non-human and agentic AI identities [4]. AI Deployment (2/2): AI is core to SailPoint's product — machine learning drives identity intelligence, anomaly detection, and automated access recommendations. At RSAC 2026, McClain stated 'if we don't get identity right, the industry will not be able to secure agentic AI' [4]. The AWS strategic collaboration agreement targets securing agentic AI with a unified identity governance layer [5]. Market Share (1/2): SailPoint holds approximately 15% of the identity governance market and is ranked #1 in IGA on PeerSpot with 14.6% mindshare versus CyberArk's 2% [3]. However, CyberArk is expanding from privileged access into broader identity governance, and Microsoft Entra leverages its installed base. Product Pipeline (1/2): The Entro acquisition opens non-human identity governance, directly addressing the explosion of AI agents and machine identities [4]. But SailPoint remains a pure-play identity company without meaningful adjacency moves. R&amp;D Intensity (1/1): As a pure-play identity security software company, SailPoint maintains high R&amp;D intensity relative to revenue, consistent with enterprise software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Mark McClain has maintained a consistent identity security mission since founding SailPoint, championing 'human-centered growth' — valuing employees as people, not just workers [6]. The purpose survived Thoma Bravo's take-private and re-IPO without losing cultural identity. McClain's framing of identity governance as essential AI infrastructure — 'Organizations are desperate for a way to manage the risk of the autonomous AI workforce' — elevates the mission beyond cybersecurity [4]. However, this remains a B2B enterprise infrastructure mission lacking broad inspirational pull. Community Impact (1/2): SailPoint's Navigate conference builds an active identity security community, and the Horizons of Identity Security research contributes to industry knowledge [4]. Limited evidence of broader social impact programs. Employee Retention (1/2): McClain's culture of integrity, impact, and collaboration is recognized, with 97% gross customer retention reflecting organizational execution quality [1]. The company grew to 3,229 employees while maintaining cultural coherence. However, Thoma Bravo's 88% ownership creates inherent tension between employee culture and PE financial optimization [3]. Insider Buying (0/2): Thoma Bravo controls 88% of shares with no notable insider net buying identified [3]. Insiders have sold over $1B in shares since 2017 with essentially no purchases — the PE sponsor's economic interest is in eventual exit, not accumulation [7].</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SailPoint delivered Q1 FY2027 revenue of $280M (+22% YoY) with FY2027 guidance for $1.27B revenue (+19%) and 19% adjusted operating margin [1][2]. The company is profitable on an adjusted basis with ~$200M FCF guidance, but GAAP losses of -$294M (FY2026) and profit margin of -14.04% reflect significant SBC burden from the re-IPO structure [2]. D/E of 0.3% reflects a clean balance sheet (1.0 score). ROE of -2.31% is negative on a GAAP basis (0.0 score, 2x growth weight). Revenue growth YoY of 22% well exceeds the 10% target (1.0 score). Forward P/E of ~35 is below the 60x floor but above the 20x target (0.62 score). Profit margin of -14.04% scores 0.0. Revenue 5yr CAGR and PEG excluded due to limited history and GAAP losses. Weighted sum = 2.62 / max 6.0 → infrastructure = 4. Liquidity floor cleared: ~3.2M avg daily volume at ~$14 = ~$44.8M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SailPoint under Mark McClain demonstrates meaningful infinite game characteristics — a consistent mission maintained through PE ownership, genuine cultural values, and strategic pivots toward long-term market opportunities like agentic AI identity governance. However, Thoma Bravo's 88% ownership fundamentally constrains infinite game playing. PE sponsors operate on finite timelines (fund lifecycle, exit optimization), and the company's strategic decisions ultimately serve return objectives. McClain's human-centered leadership creates tension with PE ownership that will only resolve when Thoma Bravo exits.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McClain has championed identity security as essential infrastructure since founding SailPoint, maintaining this focus through an IPO, Thoma Bravo's $6.9B take-private, and a second IPO [3][6]. His framing of identity governance as the foundation for securing AI elevates the mission beyond product marketing [4]. The cause is durable and increasingly relevant as AI proliferates. However, the cause is more functional (securing digital identities) than transcendent, and Thoma Bravo ownership introduces a competing cause (financial returns on a PE timeline).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McClain champions human-centered growth, creating a culture centered on integrity, impact, and collaboration, stressing employees should be valued as people [6]. The company maintained cultural coherence through the Thoma Bravo private period and re-IPO. However, PE-backed companies inherently create trust tension — employees know the sponsor's goal is exit, not eternal employment. At 3,229 employees, culture varies by team, and PE overlay constrains the psychological safety full infinite game requires.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SailPoint maintains differentiated positioning in identity governance rather than competing across all cybersecurity categories. The company acknowledges CyberArk's strength in privileged access while doubling down on IGA leadership, and the AWS collaboration reflects maturity in partner selection [5]. McClain's focus on the 'AI governance gap' positions SailPoint's strengths against challenges that rivals have not addressed as comprehensively.</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SailPoint has executed two significant pivots. First, the transformation from perpetual-license to the multi-tenant Atlas SaaS platform during the Thoma Bravo period — rebuilding the entire technology stack and go-to-market model [3]. Second, strategic expansion from governing human identities to non-human and agentic AI identities through the Entro acquisition [4]. Both pivots were market-driven rather than desperate, leveraging existing capabilities. The SaaS transition is validated by 67% SaaS ARR mix in Q1 FY2027, up from near-zero pre-transformation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Entro acquisition to govern agentic AI identities and the AWS collaboration show forward-looking leadership, placing bets on a still-emerging non-human identity governance market [4][5]. McClain's public stance that securing agentic AI requires identity governance stakes SailPoint's reputation on a bold claim. However, Thoma Bravo's 88% ownership constrains truly courageous long-term moves — the PE firm controls strategy and operates on finite fund-return timelines, limiting bets that sacrifice near-term returns for decade-scale positioning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SailPoint is a rare identity security pure-play at $1.16B ARR scale, positioned at the intersection of cybersecurity's most critical domain and AI's most urgent governance challenge [1][2]. Q1 FY2027 delivered $1.163B ARR (+26% YoY), $781M SaaS ARR (+36%), and 22% revenue growth, with FY2027 guidance calling for $1.369B ARR, $1.27B revenue, 19% adjusted operating margin, and ~$200M FCF [1]. The Atlas platform transformation created a modern multi-tenant architecture enabling rapid innovation [3]. The explosion of AI agents and non-human identities is creating an entirely new market — the Entro acquisition and AWS collaboration position SailPoint as the identity layer for agentic AI [4][5]. Net revenue retention of 114% and 97% gross retention demonstrate best-in-class customer economics.</w:t>
      </w:r>
    </w:p>
    <w:p>
      <w:pPr>
        <w:spacing w:after="120"/>
      </w:pPr>
      <w:r>
        <w:rPr>
          <w:rFonts w:ascii="Calibri" w:hAnsi="Calibri"/>
          <w:b w:val="0"/>
          <w:color w:val="3A4A28"/>
          <w:sz w:val="20"/>
        </w:rPr>
        <w:t>The primary overhang is Thoma Bravo's 88% ownership, creating persistent secondary offering risk and strategic constraints tied to PE exit timelines [3]. SailPoint remains GAAP unprofitable with -$294M FY2026 losses driven by SBC, and the stock trades below its $23 IPO price at ~$14, reflecting investor skepticism about the PE overhang [2][3]. Forward P/E of ~35 on adjusted earnings requires faith in the profitability transition, while GAAP losses deter value investors. Competition is intensifying as CyberArk expands into identity governance and Microsoft Entra leverages its installed base. The Inspire Impact Score of 0 (MIXED) with no attributions either way provides no differentiator for faith-based investors. Massive insider selling ($1B+ cumulative since 2017 versus essentially zero buying) signals the PE sponsor's exit orientation rather than long-term conviction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Agentic AI identity governance demand accelerating as enterprises deploy autonomous AI agents requiring lifecycle management — SailPoint is first-mover with Entro acquisition and AWS collaboration, with 90-95% of FY2027 net new ARR from SaaS [1][4][5]</w:t>
      </w:r>
    </w:p>
    <w:p>
      <w:pPr>
        <w:spacing w:before="40" w:after="40"/>
        <w:ind w:left="283"/>
      </w:pPr>
      <w:r>
        <w:rPr>
          <w:rFonts w:ascii="Calibri" w:hAnsi="Calibri"/>
          <w:b/>
          <w:color w:val="4A6B25"/>
          <w:sz w:val="20"/>
        </w:rPr>
        <w:t xml:space="preserve">2. </w:t>
      </w:r>
      <w:r>
        <w:rPr>
          <w:rFonts w:ascii="Calibri" w:hAnsi="Calibri"/>
          <w:b w:val="0"/>
          <w:color w:val="3A4A28"/>
          <w:sz w:val="20"/>
        </w:rPr>
        <w:t>Path to GAAP profitability as SBC normalizes post-IPO, with adjusted operating margin at 19%, ~$200M FCF guidance for FY2027, providing confidence in underlying economics that should emerge on a GAAP basis within 1-2 years [1]</w:t>
      </w:r>
    </w:p>
    <w:p>
      <w:pPr>
        <w:spacing w:before="40" w:after="40"/>
        <w:ind w:left="283"/>
      </w:pPr>
      <w:r>
        <w:rPr>
          <w:rFonts w:ascii="Calibri" w:hAnsi="Calibri"/>
          <w:b/>
          <w:color w:val="4A6B25"/>
          <w:sz w:val="20"/>
        </w:rPr>
        <w:t xml:space="preserve">3. </w:t>
      </w:r>
      <w:r>
        <w:rPr>
          <w:rFonts w:ascii="Calibri" w:hAnsi="Calibri"/>
          <w:b w:val="0"/>
          <w:color w:val="3A4A28"/>
          <w:sz w:val="20"/>
        </w:rPr>
        <w:t>Net revenue retention of 114% and 36% SaaS ARR growth indicate strong platform expansion within existing accounts, with Atlas multi-tenant architecture enabling faster feature delivery and cross-sell into the $1.16B ARR base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Thoma Bravo's 88% ownership creates persistent secondary offering overhang — cumulative insider selling of $1B+ with near-zero buying signals exit orientation, and share lockup expirations or block trades could pressure the stock significantly below its already depressed $14 level [3][7]</w:t>
      </w:r>
    </w:p>
    <w:p>
      <w:pPr>
        <w:spacing w:before="40" w:after="40"/>
        <w:ind w:left="283"/>
      </w:pPr>
      <w:r>
        <w:rPr>
          <w:rFonts w:ascii="Calibri" w:hAnsi="Calibri"/>
          <w:b/>
          <w:color w:val="4A6B25"/>
          <w:sz w:val="20"/>
        </w:rPr>
        <w:t xml:space="preserve">2. </w:t>
      </w:r>
      <w:r>
        <w:rPr>
          <w:rFonts w:ascii="Calibri" w:hAnsi="Calibri"/>
          <w:b w:val="0"/>
          <w:color w:val="3A4A28"/>
          <w:sz w:val="20"/>
        </w:rPr>
        <w:t>GAAP losses of -$294M (FY2026) and trading 39% below the $23 IPO price reflect market skepticism that may persist until GAAP profitability is demonstrated — the adjusted-to-GAAP gap creates uncertainty about true earnings power [2]</w:t>
      </w:r>
    </w:p>
    <w:p>
      <w:pPr>
        <w:spacing w:before="40" w:after="40"/>
        <w:ind w:left="283"/>
      </w:pPr>
      <w:r>
        <w:rPr>
          <w:rFonts w:ascii="Calibri" w:hAnsi="Calibri"/>
          <w:b/>
          <w:color w:val="4A6B25"/>
          <w:sz w:val="20"/>
        </w:rPr>
        <w:t xml:space="preserve">3. </w:t>
      </w:r>
      <w:r>
        <w:rPr>
          <w:rFonts w:ascii="Calibri" w:hAnsi="Calibri"/>
          <w:b w:val="0"/>
          <w:color w:val="3A4A28"/>
          <w:sz w:val="20"/>
        </w:rPr>
        <w:t>Hyperscaler risk: Microsoft Entra, Google Cloud Identity, and AWS IAM could build native identity governance capabilities that commoditize SailPoint's value proposition, particularly if AI-powered automation reduces the complexity that justifies specialized IGA vendors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SailPoint is one of the rare companies where AI fundamentally accelerates demand rather than threatening the business. The proliferation of AI agents, machine identities, and automated workflows has caused non-human identities to eclipse human identities in enterprises, creating an entirely new attack surface requiring governance [4][5]. McClain stated at RSAC 2026: 'if we don't get identity right, the industry will not be able to secure agentic AI' [4]. Every AI agent deployed requires identity governance — access controls, permissions, anomaly detection, lifecycle management. The Entro Security acquisition targets non-human identity governance directly [4]. The AWS strategic collaboration positions SailPoint as the identity layer for agentic AI on the world's largest cloud platform [5]. The only theoretical risk is hyperscaler commoditization (Microsoft, AWS building native IGA), but the AWS partnership suggests collaboration and identity complexity favors specialized vendors. AI Opportunity (1/1): AI is deeply embedded in SailPoint's platform — ML drives identity intelligence, anomaly detection, automated access recommendations, and risk scoring. With FY2027 guidance projecting 90-95% of net new ARR from SaaS offerings, AI-powered features are the primary growth driver [1]. AI is simultaneously SailPoint's product differentiator and demand catalyst.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SailPoint Fiscal Q1 2027 Results (ended April 30, 2026) — ARR $1.163B (+26%), SaaS ARR $781M (+36%), Revenue $280M (+22%), FY2027 guidance raised, investor.sailpoint.com, June 2026</w:t>
      </w:r>
    </w:p>
    <w:p>
      <w:pPr>
        <w:spacing w:before="20" w:after="20"/>
        <w:ind w:left="170"/>
      </w:pPr>
      <w:r>
        <w:rPr>
          <w:rFonts w:ascii="Calibri" w:hAnsi="Calibri"/>
          <w:b/>
          <w:color w:val="4A6B25"/>
          <w:sz w:val="15"/>
        </w:rPr>
        <w:t xml:space="preserve">2. </w:t>
      </w:r>
      <w:r>
        <w:rPr>
          <w:rFonts w:ascii="Calibri" w:hAnsi="Calibri"/>
          <w:b w:val="0"/>
          <w:color w:val="3A4A28"/>
          <w:sz w:val="17"/>
        </w:rPr>
        <w:t>SailPoint FY2026 Full Year Results — Revenue $1.071B (+24%), ARR $1.125B (+28%), Adjusted operating margin 18%, GAAP net loss -$294M, investor.sailpoint.com, March 2026</w:t>
      </w:r>
    </w:p>
    <w:p>
      <w:pPr>
        <w:spacing w:before="20" w:after="20"/>
        <w:ind w:left="170"/>
      </w:pPr>
      <w:r>
        <w:rPr>
          <w:rFonts w:ascii="Calibri" w:hAnsi="Calibri"/>
          <w:b/>
          <w:color w:val="4A6B25"/>
          <w:sz w:val="15"/>
        </w:rPr>
        <w:t xml:space="preserve">3. </w:t>
      </w:r>
      <w:r>
        <w:rPr>
          <w:rFonts w:ascii="Calibri" w:hAnsi="Calibri"/>
          <w:b w:val="0"/>
          <w:color w:val="3A4A28"/>
          <w:sz w:val="17"/>
        </w:rPr>
        <w:t>SailPoint IPO S-1 Analysis and Thoma Bravo 88% Ownership Structure — SecurityWeek, Yahoo Finance, January 2025</w:t>
      </w:r>
    </w:p>
    <w:p>
      <w:pPr>
        <w:spacing w:before="20" w:after="20"/>
        <w:ind w:left="170"/>
      </w:pPr>
      <w:r>
        <w:rPr>
          <w:rFonts w:ascii="Calibri" w:hAnsi="Calibri"/>
          <w:b/>
          <w:color w:val="4A6B25"/>
          <w:sz w:val="15"/>
        </w:rPr>
        <w:t xml:space="preserve">4. </w:t>
      </w:r>
      <w:r>
        <w:rPr>
          <w:rFonts w:ascii="Calibri" w:hAnsi="Calibri"/>
          <w:b w:val="0"/>
          <w:color w:val="3A4A28"/>
          <w:sz w:val="17"/>
        </w:rPr>
        <w:t>SailPoint Entro Security Acquisition and Agentic AI Identity Governance — sailpoint.com, RSAC 2026 Commentary, 2026</w:t>
      </w:r>
    </w:p>
    <w:p>
      <w:pPr>
        <w:spacing w:before="20" w:after="20"/>
        <w:ind w:left="170"/>
      </w:pPr>
      <w:r>
        <w:rPr>
          <w:rFonts w:ascii="Calibri" w:hAnsi="Calibri"/>
          <w:b/>
          <w:color w:val="4A6B25"/>
          <w:sz w:val="15"/>
        </w:rPr>
        <w:t xml:space="preserve">5. </w:t>
      </w:r>
      <w:r>
        <w:rPr>
          <w:rFonts w:ascii="Calibri" w:hAnsi="Calibri"/>
          <w:b w:val="0"/>
          <w:color w:val="3A4A28"/>
          <w:sz w:val="17"/>
        </w:rPr>
        <w:t>SailPoint AWS Strategic Collaboration Agreement for Agentic AI Identity — investor.sailpoint.com, March 2026</w:t>
      </w:r>
    </w:p>
    <w:p>
      <w:pPr>
        <w:spacing w:before="20" w:after="20"/>
        <w:ind w:left="170"/>
      </w:pPr>
      <w:r>
        <w:rPr>
          <w:rFonts w:ascii="Calibri" w:hAnsi="Calibri"/>
          <w:b/>
          <w:color w:val="4A6B25"/>
          <w:sz w:val="15"/>
        </w:rPr>
        <w:t xml:space="preserve">6. </w:t>
      </w:r>
      <w:r>
        <w:rPr>
          <w:rFonts w:ascii="Calibri" w:hAnsi="Calibri"/>
          <w:b w:val="0"/>
          <w:color w:val="3A4A28"/>
          <w:sz w:val="17"/>
        </w:rPr>
        <w:t>Mark McClain Human-Centered Growth Leadership and SailPoint Culture — Built In, The Key Executives, 2025-2026</w:t>
      </w:r>
    </w:p>
    <w:p>
      <w:pPr>
        <w:spacing w:before="20" w:after="20"/>
        <w:ind w:left="170"/>
      </w:pPr>
      <w:r>
        <w:rPr>
          <w:rFonts w:ascii="Calibri" w:hAnsi="Calibri"/>
          <w:b/>
          <w:color w:val="4A6B25"/>
          <w:sz w:val="15"/>
        </w:rPr>
        <w:t xml:space="preserve">7. </w:t>
      </w:r>
      <w:r>
        <w:rPr>
          <w:rFonts w:ascii="Calibri" w:hAnsi="Calibri"/>
          <w:b w:val="0"/>
          <w:color w:val="3A4A28"/>
          <w:sz w:val="17"/>
        </w:rPr>
        <w:t>SailPoint Insider Trading Activity — SimplyWallSt, MarketBeat: $1.07B cumulative insider sales since 2017, $51K purchases,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