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SAN</w:t>
      </w:r>
      <w:r>
        <w:rPr>
          <w:rFonts w:ascii="Calibri" w:hAnsi="Calibri"/>
          <w:b/>
          <w:color w:val="1A2010"/>
          <w:sz w:val="40"/>
        </w:rPr>
        <w:t xml:space="preserve">  Banco Santander, S.A.</w:t>
      </w:r>
    </w:p>
    <w:p>
      <w:pPr>
        <w:spacing w:after="120"/>
      </w:pPr>
      <w:r>
        <w:rPr>
          <w:rFonts w:ascii="Calibri" w:hAnsi="Calibri"/>
          <w:b/>
          <w:color w:val="6E8450"/>
          <w:sz w:val="18"/>
        </w:rPr>
        <w:t>DIVIDEND SLEEVE · 2026-10-08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NYQ · Spain</w:t>
      </w:r>
    </w:p>
    <w:p>
      <w:pPr>
        <w:spacing w:after="80"/>
      </w:pPr>
      <w:r>
        <w:rPr>
          <w:rFonts w:ascii="Calibri" w:hAnsi="Calibri"/>
          <w:b w:val="0"/>
          <w:color w:val="3A4A28"/>
          <w:sz w:val="20"/>
        </w:rPr>
        <w:t>Banco Santander is a Madrid-based global bank serving over 182 million customers across Europe, the Americas, and the UK, with a market capitalization of approximately $198 billion. Under Executive Chair Ana Botin (fourth generation of the Botin family, in role since 2014), the bank delivered a record H1 2026 with underlying profit up 15% YoY to EUR 7.3B, revenue up 6% to EUR 30.8B, and underlying EPS growth of 20% [1]. The 2026-2028 strategic plan is anchored in data and AI, targeting over EUR 1 billion in combined annual benefit through approximately EUR 300M in incremental revenue and EUR 700M in cost reduction by 2028, with partnerships including OpenAI and Microsoft [2]. Founded in 1856, Santander operates through Retail &amp; Commercial Banking, Digital Consumer Bank, Corporate &amp; Investment Banking, Wealth Management &amp; Insurance, and Payments segments.</w:t>
      </w:r>
    </w:p>
    <w:p>
      <w:r>
        <w:rPr>
          <w:rFonts w:ascii="Calibri" w:hAnsi="Calibri"/>
          <w:b/>
          <w:color w:val="6E8450"/>
          <w:sz w:val="18"/>
        </w:rPr>
        <w:t>185,279 Employees · https://www.santander.com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Santander has executed a sustained multi-year digital and platform transformation under Botin — the ONE Transformation program scaling common technology platforms across global businesses, the TSB UK acquisition integration, and consistent customer growth (12M net adds in H1 2026 alone) — delivering four consecutive years of record profits [1][2]. AI Deployment (1/2): AI tools have been deployed to all 185,000 employees globally, with Q1 2026 AI initiatives delivering EUR 35M in business value and projections exceeding EUR 200M by year-end; over 280 automated process agents handle credit decisions, fraud detection, and KYC checks, and the SAMi AI commercial assistant is in active use [2]. While deployment is real and measurable, the EUR 35M quarterly contribution remains modest relative to EUR 30.8B in H1 revenue. Market Share (2/2): Santander serves 182 million customers globally and added 12 million net new customers in H1 2026 alone, placing it among the largest retail banking franchises in the world with specific supporting data demonstrating continued share gains [1]. Product Pipeline (2/2): The 2026-2028 AI/data strategic plan has specific targets — EUR 300M incremental revenue and EUR 700M cost reduction by 2028 — with named partners (OpenAI, Microsoft, Amazon) and a defined path to an efficiency ratio of 36% and RoTE above 20% by 2028 [2]. R&amp;D Intensity (0/1): No R&amp;D-as-percent-of-revenue disclosure distinct from general technology and transformation spend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Grupo Santander's purpose — 'to help people and businesses prosper' — has been consistently articulated since at least 2015 and remains the stated anchor of the current strategic plan, with 'Simple, Personal and Fair' as operating principles [1][2]. The language identifies who the bank serves but reads as fairly generic banking-sector phrasing. Community Impact (2/2): Santander Universidades, the bank's decades-long global education and scholarship initiative, represents a distinctive, large-scale, sustained community investment program tied directly to the stated purpose. The bank has committed EUR 220B in green finance by 2030 and is a founding member of the Principles for Responsible Banking [2]. Employee Retention (0/2): With 185,279 employees globally, no specific tenure or voluntary turnover data was found in available research. Insider Buying (1/2): Executive Chair Ana Botin purchased 100,000 shares on March 5, 2026 at GBX 848 (~GBP 848,000) and has made several purchases totaling approximately EUR 2.9M, demonstrating personal conviction [3]. However, net insider activity over the last 90 days was negative at -EUR 4.44M, with Group Senior EVP Juan Manuel Cendoya selling shares totaling over EUR 4.3M, producing a mixed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Forward P/E of 9.54 is well below the 20 target (score 1.0) and profit margin of 33.5% exceeds the 20% target (score 1.0) [1]. ROE of 13.1% falls modestly short of the 15% target (score 0.87), and revenue growth (YoY 10.2% scoring 1.0; estimated 5yr CAGR approximately 5.0% scoring 0.67) reflects moderate but steady top-line expansion. D/E is excluded as unavailable from standard sources for banks. On dividend quality, payout ratio of 26.7% is well under the 40% target (score 1.0), and the estimated 5-year dividend growth CAGR of approximately 14% scores at the 1.0 cap (2x weight), reflecting strong dividend increases since the 2021 post-COVID resumption [3]. Consecutive years paid and growth since the 2020 ECB-mandated pandemic suspension are approximately 5 each (scoring 0.5 against the 10-year targets). Average daily volume of approximately 12.4M shares at $13.66 (~$169M/day) clears the liquidity floor comfortably.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Santander's purpose — 'to help people and businesses prosper' — has been consistently articulated for over a decade under Executive Chair Ana Botin and anchors both the Santander Universidades education program and the current AI-led strategic plan. The Botin family's multi-generational leadership spanning over a century provides unusual continuity of purpose for a global institution. However, available evidence does not show costly principled leadership decisions, and no specific employee trust or retention data substantiates exceptional organizational culture, keeping Santander in the MIXED category.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'help people and businesses prosper' purpose has been referenced consistently since at least 2015 and anchors both the Santander Universidades education initiative and the current strategic plan [1][2]. The Botin family's multi-generational leadership (Ana Botin is the fourth generation) provides unusual continuity of purpose for a bank, though the mission statement itself remains fairly generic banking-sector language that could apply to any peer.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Twelve years of leadership continuity under Executive Chair Botin and four consecutive years of record profits suggest organizational stability across a 185,000-employee global workforce, but no specific tenure, turnover, or psychological-safety data was found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framing competing global banks as sources of learning or improvement; available strategic commentary focuses on internal transformation targets rather than an explicit competitive philosophy.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ONE Transformation program to scale common technology platforms across Santander's global businesses, combined with the TSB acquisition, the OpenAI partnership to become an 'AI-native' bank, and a decade-long digital transformation push, represents meaningful adaptation of the banking model [2]. This is incremental modernization of an established universal banking franchise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multi-year TSB UK acquisition integration and the 2026-2028 AI/data strategic plan (committing capital toward a 2028 payoff of EUR 300M revenue and EUR 700M cost savings) represent real long-term bets absorbing near-term integration costs [1][2]. However, no evidence was found of leadership walking away from profitable-but-misaligned business lines or making costly principled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Banco Santander at $13.66 is a well-run global bank executing from a position of strength — record H1 2026 results (underlying profit +15% YoY to EUR 7.3B, revenue +6%, RoTE 15.6%, underlying EPS +20%) with 182M customers and 12M net new customer adds in six months [1]. Valuation remains modest at 9.54x forward P/E with a PEG of 0.93, and the dividend (2.05% yield, 26.7% payout ratio, approximately 14% dividend growth CAGR) is well covered with substantial room to keep growing [1][3]. The 2026-2028 AI strategic plan targeting EUR 1B+ in combined revenue and cost benefit, with named partners OpenAI and Microsoft, provides specific near-term catalysts that could improve ROE above the 15% target and drive further multiple expansion [2]. Management's stated 2028 targets of RoTE above 20% and profit above EUR 20B (up from EUR 14.1B in 2025) give the investment thesis concrete goalposts.</w:t>
      </w:r>
    </w:p>
    <w:p>
      <w:pPr>
        <w:spacing w:after="120"/>
      </w:pPr>
      <w:r>
        <w:rPr>
          <w:rFonts w:ascii="Calibri" w:hAnsi="Calibri"/>
          <w:b w:val="0"/>
          <w:color w:val="3A4A28"/>
          <w:sz w:val="20"/>
        </w:rPr>
        <w:t>The bear case centers on structural banking risks and ESG credibility. As a globally systemic bank, Santander carries inherent balance sheet leverage (D/E metrics are structural for banks, not a sign of distress), creating sensitivity to credit cycles, funding costs, and regulatory capital requirements. The bank's bad loan ratio of approximately 3% with provisions covering roughly 66% of those loans represents a potential downside if credit quality deteriorates [1]. ROE of 13.1% falls short of the 15% target used in this framework, and the 5-year revenue CAGR of approximately 5.0% reflects the modest top-line growth trajectory of a mature global bank. No parent-company insider buying signal is unambiguously positive — while Chair Botin has personally invested EUR 2.9M, net insider activity was negative over the past 90 days [3]. The Inspire Impact Score of 0 (MIXED) reflects neutral faith alignment. SAN screens as a reasonably priced, dividend-growing global bank executing a credible AI-driven efficiency plan, appropriate for a HOLD pending clearer evidence the AI investment converts into the targeted EUR 1B+ annual benefit.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of the 2026-2028 AI/data strategic plan toward its targeted EUR 300M incremental revenue and EUR 700M cost reduction by 2028, which would directly improve ROE and efficiency ratio metrics [2]</w:t>
      </w:r>
    </w:p>
    <w:p>
      <w:pPr>
        <w:spacing w:before="40" w:after="40"/>
        <w:ind w:left="283"/>
      </w:pPr>
      <w:r>
        <w:rPr>
          <w:rFonts w:ascii="Calibri" w:hAnsi="Calibri"/>
          <w:b/>
          <w:color w:val="4A6B25"/>
          <w:sz w:val="20"/>
        </w:rPr>
        <w:t xml:space="preserve">2. </w:t>
      </w:r>
      <w:r>
        <w:rPr>
          <w:rFonts w:ascii="Calibri" w:hAnsi="Calibri"/>
          <w:b w:val="0"/>
          <w:color w:val="3A4A28"/>
          <w:sz w:val="20"/>
        </w:rPr>
        <w:t>Continued customer growth momentum (12M net adds in H1 2026, 182M total) sustaining fee income and net interest income growth (+9% and +7% respectively in H1 2026) [1]</w:t>
      </w:r>
    </w:p>
    <w:p>
      <w:pPr>
        <w:spacing w:before="40" w:after="40"/>
        <w:ind w:left="283"/>
      </w:pPr>
      <w:r>
        <w:rPr>
          <w:rFonts w:ascii="Calibri" w:hAnsi="Calibri"/>
          <w:b/>
          <w:color w:val="4A6B25"/>
          <w:sz w:val="20"/>
        </w:rPr>
        <w:t xml:space="preserve">3. </w:t>
      </w:r>
      <w:r>
        <w:rPr>
          <w:rFonts w:ascii="Calibri" w:hAnsi="Calibri"/>
          <w:b w:val="0"/>
          <w:color w:val="3A4A28"/>
          <w:sz w:val="20"/>
        </w:rPr>
        <w:t>Further dividend growth following the 14% dividend increase trajectory, supported by a payout ratio of only 26.7% leaving substantial room for continued increases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cycle risk with a bad loan ratio of approximately 3% and provision coverage of roughly 66% — a deterioration in European, Latin American, or UK credit quality could pressure earnings and capital ratios during the economic cycle [1]</w:t>
      </w:r>
    </w:p>
    <w:p>
      <w:pPr>
        <w:spacing w:before="40" w:after="40"/>
        <w:ind w:left="283"/>
      </w:pPr>
      <w:r>
        <w:rPr>
          <w:rFonts w:ascii="Calibri" w:hAnsi="Calibri"/>
          <w:b/>
          <w:color w:val="4A6B25"/>
          <w:sz w:val="20"/>
        </w:rPr>
        <w:t xml:space="preserve">2. </w:t>
      </w:r>
      <w:r>
        <w:rPr>
          <w:rFonts w:ascii="Calibri" w:hAnsi="Calibri"/>
          <w:b w:val="0"/>
          <w:color w:val="3A4A28"/>
          <w:sz w:val="20"/>
        </w:rPr>
        <w:t>ROE of 13.1% remains below the 15% target, and achieving the 2028 goal of RoTE above 20% requires the AI/transformation plan to deliver on schedule while maintaining credit quality across geographically diverse markets</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over the past 90 days (-EUR 4.44M) despite Chair Botin's personal purchases creates a mixed conviction signal from management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Santander's core deposit-taking, lending, and payments franchise is protected by banking licenses, regulatory capital requirements, physical branch infrastructure, and deep customer relationship switching costs that AI cannot directly displace [2]. Management explicitly frames AI as a growth and efficiency enabler — Botin has declared AI 'everywhere at Santander' in the context of the bank's own strategic deployment, with the 2026-2028 plan targeting EUR 1B+ in combined AI-driven benefit rather than defending against disruption. Some back-office and customer service functions face automation exposure, but the core banking franchise is structurally defensible against AI substitution. AI Opportunity (1/1): The 2026-2028 strategic plan quantifies approximately EUR 300M in incremental annual AI-driven revenue by 2028, and Q1 2026 already delivered EUR 35M in measured AI business value with EUR 200M+ projected by year-end — specific, disclosed, measurable AI revenue contributions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Banco Santander H1/Q2 2026 Results — Underlying Profit EUR 7.3B (+15% YoY), Revenue EUR 30.8B (+6%), NII EUR 22.7B (+7%), Fee Income EUR 6.85B (+9%), RoTE 15.6%, 182M Customers (+12M in H1) — SEC 6-K Filing, ii.co.uk, Quartr, July 2026</w:t>
      </w:r>
    </w:p>
    <w:p>
      <w:pPr>
        <w:spacing w:before="20" w:after="20"/>
        <w:ind w:left="170"/>
      </w:pPr>
      <w:r>
        <w:rPr>
          <w:rFonts w:ascii="Calibri" w:hAnsi="Calibri"/>
          <w:b/>
          <w:color w:val="4A6B25"/>
          <w:sz w:val="15"/>
        </w:rPr>
        <w:t xml:space="preserve">2. </w:t>
      </w:r>
      <w:r>
        <w:rPr>
          <w:rFonts w:ascii="Calibri" w:hAnsi="Calibri"/>
          <w:b w:val="0"/>
          <w:color w:val="3A4A28"/>
          <w:sz w:val="17"/>
        </w:rPr>
        <w:t>Banco Santander 2026-2028 AI Strategy — EUR 1B+ Combined Benefit (EUR 300M Revenue + EUR 700M Cost), OpenAI/Microsoft Partnerships, SAMi AI Assistant, 280 Automated Agents, All-Staff AI Deployment — PYMNTS, TechMarketView, CrowdFund Insider, 2026</w:t>
      </w:r>
    </w:p>
    <w:p>
      <w:pPr>
        <w:spacing w:before="20" w:after="20"/>
        <w:ind w:left="170"/>
      </w:pPr>
      <w:r>
        <w:rPr>
          <w:rFonts w:ascii="Calibri" w:hAnsi="Calibri"/>
          <w:b/>
          <w:color w:val="4A6B25"/>
          <w:sz w:val="15"/>
        </w:rPr>
        <w:t xml:space="preserve">3. </w:t>
      </w:r>
      <w:r>
        <w:rPr>
          <w:rFonts w:ascii="Calibri" w:hAnsi="Calibri"/>
          <w:b w:val="0"/>
          <w:color w:val="3A4A28"/>
          <w:sz w:val="17"/>
        </w:rPr>
        <w:t>Banco Santander Insider Activity and Dividends — Chair Botin 100K Share Purchase (GBX 848), Net Insider Selling -EUR 4.44M, Dividend EUR 0.13 (April 2026), Yield ~2.05%, Payout 26.7% — InsiderTrades, MarketBeat, Wisesheets,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