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w:t>
      </w:r>
      <w:r>
        <w:rPr>
          <w:rFonts w:ascii="Calibri" w:hAnsi="Calibri"/>
          <w:b/>
          <w:color w:val="1A2010"/>
          <w:sz w:val="40"/>
        </w:rPr>
        <w:t xml:space="preserve">  Seabridge Gold Inc.</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Seabridge Gold is a development-stage gold exploration company focused on acquiring and advancing large gold-copper-silver-molybdenum deposits in North America. Its flagship KSM (Kerr-Sulphurets-Mitchell) project in northwestern British Columbia is one of the world's largest undeveloped gold-copper deposits. The company generates zero revenue from mining operations — value derives entirely from resource appreciation and future development. Co-founder and CEO Rudi Fronk has led the company since 1999. In Q2 2026, Seabridge reported $117.5M net income driven by a one-time gain from the Courageous Lake property distribution, and secured a US$100M credit facility for KSM fieldwork. Market cap approximately $3.2B.</w:t>
      </w:r>
    </w:p>
    <w:p>
      <w:r>
        <w:rPr>
          <w:rFonts w:ascii="Calibri" w:hAnsi="Calibri"/>
          <w:b/>
          <w:color w:val="6E8450"/>
          <w:sz w:val="18"/>
        </w:rPr>
        <w:t>200 Employees · https://www.seabridgegold.com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Seabridge has operated the same exploration-stage business model for over 25 years with no meaningful product launches, market pivots, or business model transformations — the company acquires, explores, and advances mineral properties without reaching production [1]. AI Deployment (0/2): No AI-powered products or quantifiable AI-driven operational improvements are evident; the company's operations are traditional geological exploration and drilling [2]. Market Share (1/2): Seabridge controls one of the world's largest undeveloped gold-copper deposits at KSM with measured and indicated resources exceeding 38 million ounces of gold equivalent, making it a meaningful player among development-stage gold companies, though it produces nothing and holds no share of gold production markets [1]. Product Pipeline (1/2): The KSM feasibility study is advancing with $32.5M in Q2 2026 capital expenditures and a US$100M credit facility secured in July 2026 for summer fieldwork, but specific production timelines remain vague after decades of development [1]. R&amp;D Intensity (1/1): Exploration and development spending of $32.5M in a single quarter for a company with no revenue reflects intense capital commitment to advancing mineral properties, well above typical junior miner spending rates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Seabridge's stated strategy centers on creating shareholder value through acquisition and development of gold properties — a generic, explicitly financial purpose interchangeable with virtually any gold exploration company, articulating no deeper purpose beyond resource accumulation and eventual monetization [2]. Community Impact (1/2): Seabridge awarded $50,000 in bursaries to 48 students from northwest British Columbia in partnership with the Nisga'a Lisims Government and Tahltan Central Government, and directed 71% of procurement spending to local Indigenous communities — meaningful for a pre-revenue company but modest in absolute terms [3]. Employee Retention (0/2): No voluntary turnover or average tenure data is publicly available for this small exploration company of approximately 200 employees [2]. Insider Buying (0/2): No evidence of meaningful net insider buying by CEO Rudi Fronk or other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pre-revenue exploration company. D/E of 50.77% is healthy relative to the 70% target, scoring 1.0 against $562M total debt and $95.5M cash [4]. ROE of 3.27% (inflated by a one-time $117.5M gain from the Courageous Lake distribution) scores 0.22 against the 15% target with 2x weight [1]. Profit margin of 0.0% sits at the floor with no operational revenue to generate margins. PEG of 5.4 far exceeds the 3.0 floor, scoring 0 with 2x weight. Forward EPS of -$0.23 indicates expected losses from ongoing exploration spending; negative forward P/E excluded as not meaningful. Revenue growth metrics excluded as the company generates zero revenue. Free cash flow is deeply negative at -$152.7M [4]. The stock clears the liquidity floor with ~$19.1M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Seabridge Gold operates with a narrow, finite purpose: accumulate gold resources and eventually monetize them. CEO Rudi Fronk's 25-year tenure demonstrates personal commitment but the company has not articulated a Just Cause beyond resource extraction and shareholder value creation. The business model has remained unchanged for a quarter century — acquire properties, explore, advance toward feasibility — with no transformative pivots or strategic reinvention. While Indigenous partnerships and community investment show some stakeholder awareness, the company fundamentally plays to win (find gold, develop it, sell it) rather than playing to keep playing toward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Seabridge's purpose — creating shareholder value through gold resource development — exists but is shallow in Sinek's framework [2]. It describes what the company does and who benefits (shareholders), not a vision of a future worth creating. 'Finding gold' is not a Just Cause; it lacks the idealism, inclusiveness, and service-orientation Sinek requires. The 25-year consistency under Fronk shows staying power but the cause itself is indistinguishable from any gold exploration peer.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Seabridge maintains a small, stable workforce with women comprising 52% of staff and 40% of the Board, and growing Indigenous representation in leadership — signals of an inclusive organizational culture [3]. CEO Fronk's 25-year tenure and COO Ryan Hoel's internal promotion signal leadership stability and succession planning. However, with approximately 200 employees and minimal Glassdoor data, there is insufficient evidence to assess organizational trust depth beyond these surface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Seabridge's management acknowledging competitors' strengths or framing competition as motivation for self-improvement [2]. Gold exploration companies compete primarily on resource quality and permitting status, and Seabridge's public communications emphasize KSM's unique scale rather than lessons learned from peers like Barrick, Newmont, or other major gold companies.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Seabridge has maintained the same exploration-stage business model for 25 years without transformative reinvention [1][2]. The distribution of the Courageous Lake property in 2026 was strategic portfolio management, not an existential pivot. The company has never fundamentally reinvented itself or abandoned a core business in service of a larger cause — it acquires and advances gold properties, and has done so without deviation since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Rudi Fronk has maintained Seabridge's long-term KSM development strategy through multiple gold price cycles over 25 years, including periods when gold traded below $1,200/oz and investors pressured junior miners to sell assets or shut down [2]. Committing $32.5M in Q2 2026 capital expenditures while generating zero revenue demonstrates conviction. However, holding a large gold resource during a secular gold bull market is rational financial optionality rather than mission-driven sacrifice — evidence of costly, principled decisions beyond patience is limited.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Seabridge Gold offers leveraged exposure to gold prices through one of the world's largest undeveloped gold-copper deposits. The KSM project holds measured and indicated resources exceeding 38 million ounces of gold equivalent, providing massive upside if gold prices remain elevated and the project reaches production [1]. The Q2 2026 net income of $117.5M (from the Courageous Lake property distribution) and manageable D/E of 50.77% provide near-term financial stability, while the US$100M credit facility secured in July 2026 signals institutional confidence in advancing KSM through feasibility [1]. CEO Rudi Fronk's 25-year tenure provides strategic continuity, and the company's AI-immune business model (score 8/10) eliminates a risk factor affecting many growth investments. With gold trading near multi-year highs, KSM's economics become increasingly compelling for potential development partners.</w:t>
      </w:r>
    </w:p>
    <w:p>
      <w:pPr>
        <w:spacing w:after="120"/>
      </w:pPr>
      <w:r>
        <w:rPr>
          <w:rFonts w:ascii="Calibri" w:hAnsi="Calibri"/>
          <w:b w:val="0"/>
          <w:color w:val="3A4A28"/>
          <w:sz w:val="20"/>
        </w:rPr>
        <w:t>The bear case is substantial: Seabridge generates zero revenue from operations and burns cash at -$152.7M annually in free cash flow, making it entirely dependent on capital markets for survival [4]. The KSM project has been in development for over two decades without reaching production, and major mining projects of this scale routinely face multi-billion-dollar cost overruns, permitting delays, and environmental opposition. Forward EPS of -$0.23 confirms the market expects continued losses from ongoing exploration spending. The $562M in total debt against $95.5M cash creates financing risk if gold prices decline or capital markets tighten [4]. PEG of 5.4 indicates the stock is pricing in enormous future value that may never materialize. Annual free cash flow destruction and potential equity dilution steadily erode per-share value for existing holders. Value realization is entirely dependent on securing a well-capitalized development partner willing to commit billions in capital expenditure for a project with uncertain timelines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KSM feasibility study completion and development partnership announcement with a major mining company could validate the resource value and provide the multi-billion dollar capital required for construction — the US$100M credit facility signals momentum toward this milestone [1]</w:t>
      </w:r>
    </w:p>
    <w:p>
      <w:pPr>
        <w:spacing w:before="40" w:after="40"/>
        <w:ind w:left="283"/>
      </w:pPr>
      <w:r>
        <w:rPr>
          <w:rFonts w:ascii="Calibri" w:hAnsi="Calibri"/>
          <w:b/>
          <w:color w:val="4A6B25"/>
          <w:sz w:val="20"/>
        </w:rPr>
        <w:t xml:space="preserve">2. </w:t>
      </w:r>
      <w:r>
        <w:rPr>
          <w:rFonts w:ascii="Calibri" w:hAnsi="Calibri"/>
          <w:b w:val="0"/>
          <w:color w:val="3A4A28"/>
          <w:sz w:val="20"/>
        </w:rPr>
        <w:t>Sustained gold prices above $2,500/oz strengthen the economic case for KSM development and increase Seabridge's resource-based net asset value, with the company providing exceptional leverage to gold price appreciation given its massive undeveloped resource base</w:t>
      </w:r>
    </w:p>
    <w:p>
      <w:pPr>
        <w:spacing w:before="40" w:after="40"/>
        <w:ind w:left="283"/>
      </w:pPr>
      <w:r>
        <w:rPr>
          <w:rFonts w:ascii="Calibri" w:hAnsi="Calibri"/>
          <w:b/>
          <w:color w:val="4A6B25"/>
          <w:sz w:val="20"/>
        </w:rPr>
        <w:t xml:space="preserve">3. </w:t>
      </w:r>
      <w:r>
        <w:rPr>
          <w:rFonts w:ascii="Calibri" w:hAnsi="Calibri"/>
          <w:b w:val="0"/>
          <w:color w:val="3A4A28"/>
          <w:sz w:val="20"/>
        </w:rPr>
        <w:t>Strategic asset management demonstrated by the Courageous Lake distribution — potential for further value-unlocking transactions from non-core properties to fund KSM advancement without dilutive equity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KSM has been in development for 20+ years without reaching production — the project requires multi-billion-dollar capital investment, extensive permitting, and First Nations agreements that create indefinite timeline risk for a company burning $150M+ annually in cash [1][4]</w:t>
      </w:r>
    </w:p>
    <w:p>
      <w:pPr>
        <w:spacing w:before="40" w:after="40"/>
        <w:ind w:left="283"/>
      </w:pPr>
      <w:r>
        <w:rPr>
          <w:rFonts w:ascii="Calibri" w:hAnsi="Calibri"/>
          <w:b/>
          <w:color w:val="4A6B25"/>
          <w:sz w:val="20"/>
        </w:rPr>
        <w:t xml:space="preserve">2. </w:t>
      </w:r>
      <w:r>
        <w:rPr>
          <w:rFonts w:ascii="Calibri" w:hAnsi="Calibri"/>
          <w:b w:val="0"/>
          <w:color w:val="3A4A28"/>
          <w:sz w:val="20"/>
        </w:rPr>
        <w:t>Zero operational revenue and deeply negative free cash flow (-$152.7M) create existential dependency on capital markets — any disruption to financing access or a sustained gold price decline below $1,500/oz could threaten the company's ability to maintain KSM development [4]</w:t>
      </w:r>
    </w:p>
    <w:p>
      <w:pPr>
        <w:spacing w:before="40" w:after="40"/>
        <w:ind w:left="283"/>
      </w:pPr>
      <w:r>
        <w:rPr>
          <w:rFonts w:ascii="Calibri" w:hAnsi="Calibri"/>
          <w:b/>
          <w:color w:val="4A6B25"/>
          <w:sz w:val="20"/>
        </w:rPr>
        <w:t xml:space="preserve">3. </w:t>
      </w:r>
      <w:r>
        <w:rPr>
          <w:rFonts w:ascii="Calibri" w:hAnsi="Calibri"/>
          <w:b w:val="0"/>
          <w:color w:val="3A4A28"/>
          <w:sz w:val="20"/>
        </w:rPr>
        <w:t>PEG ratio of 5.4 and trailing P/E of 157.8x suggest the stock prices in massive future value from a project that has yet to produce an ounce of gold, creating severe downside risk if feasibility economics disappoint or permitting timelines extend further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exploration and mine development is a physical-world operation that AI structurally cannot displace — geological fieldwork, core drilling, environmental permitting, mine construction, and physical extraction of gold and copper from rock require hands-on engineering and physical infrastructure that no AI system can substitute [2]. The gold price itself — Seabridge's primary value driver — is driven by macroeconomic, monetary, and geopolitical factors entirely independent of AI disruption dynamics. AI may modestly improve exploration targeting through geological modeling, but this enhances rather than threatens the business model. No analysts have flagged AI as a risk factor for gold exploration companies. AI Opportunity (0/1): Seabridge generates no revenue from AI-related products or services; operations are traditional geological exploration with no evidence of AI tools generating measurable cost savings or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Seabridge Gold Q2 2026 Financial Report — Net Income $117.5M (Courageous Lake Distribution), KSM Capital Expenditures $32.5M, US$100M Credit Facility Secured July 2026, SEC Form 6-K</w:t>
      </w:r>
    </w:p>
    <w:p>
      <w:pPr>
        <w:spacing w:before="20" w:after="20"/>
        <w:ind w:left="170"/>
      </w:pPr>
      <w:r>
        <w:rPr>
          <w:rFonts w:ascii="Calibri" w:hAnsi="Calibri"/>
          <w:b/>
          <w:color w:val="4A6B25"/>
          <w:sz w:val="15"/>
        </w:rPr>
        <w:t xml:space="preserve">2. </w:t>
      </w:r>
      <w:r>
        <w:rPr>
          <w:rFonts w:ascii="Calibri" w:hAnsi="Calibri"/>
          <w:b w:val="0"/>
          <w:color w:val="3A4A28"/>
          <w:sz w:val="17"/>
        </w:rPr>
        <w:t>Seabridge Gold Company Website — Leadership &amp; Directors, CEO Rudi Fronk Since 1999, COO Ryan Hoel, Company Strategy and Mission, seabridgegold.com,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Seabridge Gold 2025 Sustainability Report — $50K Bursaries to 48 Students, 71% Local Procurement, 52% Women Workforce, 40% Women on Board, Indigenous Partnerships with Nisga'a and Tahltan Governments</w:t>
      </w:r>
    </w:p>
    <w:p>
      <w:pPr>
        <w:spacing w:before="20" w:after="20"/>
        <w:ind w:left="170"/>
      </w:pPr>
      <w:r>
        <w:rPr>
          <w:rFonts w:ascii="Calibri" w:hAnsi="Calibri"/>
          <w:b/>
          <w:color w:val="4A6B25"/>
          <w:sz w:val="15"/>
        </w:rPr>
        <w:t xml:space="preserve">4. </w:t>
      </w:r>
      <w:r>
        <w:rPr>
          <w:rFonts w:ascii="Calibri" w:hAnsi="Calibri"/>
          <w:b w:val="0"/>
          <w:color w:val="3A4A28"/>
          <w:sz w:val="17"/>
        </w:rPr>
        <w:t>Yahoo Finance — SA Key Statistics: Price $29.98, D/E 50.77%, ROE 3.27%, PEG 5.4, Avg Volume 637,898, Free Cash Flow -$152.7M, Total Debt $562M,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