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SBH</w:t>
      </w:r>
      <w:r>
        <w:rPr>
          <w:rFonts w:ascii="Calibri" w:hAnsi="Calibri"/>
          <w:b/>
          <w:color w:val="1A2010"/>
          <w:sz w:val="40"/>
        </w:rPr>
        <w:t xml:space="preserve">  Sally Beauty Holdings, Inc.</w:t>
      </w:r>
    </w:p>
    <w:p>
      <w:pPr>
        <w:spacing w:after="120"/>
      </w:pPr>
      <w:r>
        <w:rPr>
          <w:rFonts w:ascii="Calibri" w:hAnsi="Calibri"/>
          <w:b/>
          <w:color w:val="6E8450"/>
          <w:sz w:val="18"/>
        </w:rPr>
        <w:t>GROWTH SLEEVE · 2026-09-17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Specialty Retail · NYSE · United States</w:t>
      </w:r>
    </w:p>
    <w:p>
      <w:pPr>
        <w:spacing w:after="80"/>
      </w:pPr>
      <w:r>
        <w:rPr>
          <w:rFonts w:ascii="Calibri" w:hAnsi="Calibri"/>
          <w:b w:val="0"/>
          <w:color w:val="3A4A28"/>
          <w:sz w:val="20"/>
        </w:rPr>
        <w:t>Sally Beauty Holdings, Inc. is a specialty retailer and distributor of professional beauty supplies, operating through the Sally Beauty Supply and Beauty Systems Group (BSG) segments. Founded in 1964 and headquartered in Plano, Texas, the company sells hair color and care, skin and nail care, and styling products under owned and licensed brands (Wella, L'Oreal, Clairol, OPI, Paul Mitchell, Matrix, Schwarzkopf, and others) through company-operated and franchised stores and e-commerce across the U.S. and ten additional countries. Under CEO Denise Paulonis, the company is now in its 60th year, focused on margin expansion through digital tools and supply-chain automation amid a mature, largely flat top-line environment.</w:t>
      </w:r>
    </w:p>
    <w:p>
      <w:r>
        <w:rPr>
          <w:rFonts w:ascii="Calibri" w:hAnsi="Calibri"/>
          <w:b/>
          <w:color w:val="6E8450"/>
          <w:sz w:val="18"/>
        </w:rPr>
        <w:t>11,000 Employees · https://www.sallybeautyholdings.com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Sally Beauty has held FY2025 revenue essentially flat ($3.70B, -0.42% YoY) while growing net income to $195.9 million from $153.4 million, an incremental margin-expansion story via store refreshes and cost discipline rather than a category-redefining pivot [1][2]. AI Deployment (1/2): The company has expanded AI-powered virtual try-on technology to stores and its app, and CEO Paulonis led the leadership team through a hands-on generative AI workshop building chat workflows, videos, and marketing content, evidencing genuine operational adoption [4][5]. Market Share (1/2): Sally Beauty holds a leading position in professional beauty distribution to both retail consumers and licensed salon professionals via its dual Sally/BSG segments, but faces structural share pressure from Amazon, mass retail, and DTC beauty brands in a largely flat category. Product Pipeline (1/2): The Blue Yonder partnership for planning and execution is aimed at increasing supply-chain visibility and responsiveness while managing costs, supporting margin (not top-line) trajectory [6]. R&amp;D Intensity (0/1): As a distributor/retailer rather than a product innovator, Sally Beauty shows limited evidence of meaningful R&amp;D investment intensity.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Sally Beauty's positioning as a leading professional beauty supply distributor to both consumers and licensed stylists is a clear, functional purpose but not deeply distinctive from category peers like Ulta or SalonCentric. Community Impact (1/2): The company operates the SBH Inspires Foundation, dedicated specifically to ending domestic violence and abuse and supporting survivors — a concrete, focused charitable cause, though no scale or impact metrics were disclosed in the research window [8]. Employee Retention (0/2): No specific employee tenure or retention data was identified; scattered social-media complaints referencing customer-service and racial-profiling incidents surfaced but do not constitute an organized controversy per Sustainalytics' 'low controversy level' and 'Average' ESG risk-management rating [7][8]. Insider Buying (0/2): No evidence of meaningful net insider buying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(no active dividend). Sally Beauty screens attractively on valuation and returns: PEG of 0.70 and forward P/E of 7.15 both clear their targets comfortably, ROE of 23.53% far exceeds the 15% target, and D/E of 173.89% is well inside the 300% floor [3][9]. The main drags are a near-flat revenue growth YoY of 0.2% and a roughly flat-to-slightly-negative 3-year revenue CAGR (2022-2025) of approximately -1.0%, both reflecting the mature, largely saturated specialty beauty retail category, plus a modest profit margin of 5.16% relative to the 20% target [1][9]. Liquidity clears the floor comfortably at roughly $22 million in average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Sally Beauty shows real evidence of adaptive leadership — an engaged, hands-on approach to AI experimentation and a dedicated charitable foundation — but lacks a deeply distinctive long-term cause, and its core business faces genuine competitive and category headwinds that leadership is managing rather than transforming.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Beyond the SBH Inspires Foundation's focus on domestic violence survivors, the company's core retail/distribution mission is not framed around a cause deeper than serving beauty product demand [8].</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Descriptions of the leadership team as one that 'shows up not just to discuss but build' and the company's recognition for gender diversity in beauty-industry leadership suggest a genuinely engaged and empowered leadership culture, though evidence does not extend clearly to frontline store associates [4].</w:t>
      </w:r>
    </w:p>
    <w:p>
      <w:pPr>
        <w:spacing w:before="200" w:after="40"/>
      </w:pPr>
      <w:r>
        <w:rPr>
          <w:rFonts w:ascii="Calibri" w:hAnsi="Calibri"/>
          <w:b/>
          <w:color w:val="1A2010"/>
          <w:sz w:val="22"/>
        </w:rPr>
        <w:t>Worthy Rivals</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Sally Beauty operates against Ulta, Sephora, mass retailers (Walmart, Amazon), and professional distributor SalonCentric, and its margin-and-technology-focused response acknowledges this competitive reality rather than pursuing unsustainable price competition [1][6].</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The Blue Yonder AI supply-chain partnership and expanded AI try-on technology represent real attempts to modernize a traditional specialty-retail model in the face of e-commerce and DTC disruption, rather than defending the status quo [4][6].</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Paulonis personally leading the executive team through hands-on generative AI experimentation, rather than delegating the initiative, signals a willingness to model change from the top even as the core business faces flat growth [4][5].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Sally Beauty is a mature specialty beauty retailer trading at a deep value multiple (forward P/E 7.15, PEG 0.70) with strong returns on capital (ROE 23.5%) and consistent margin expansion via store refreshes, digital tools, and the Blue Yonder AI-enabled supply-chain partnership, delivering FY2025 net income growth of 28% despite essentially flat revenue [1][2][6]. Management raised FY2026 guidance and beat Q1 EPS estimates by 4.35%, evidence that cost and margin discipline can continue to drive earnings growth even in a no-growth top-line environment [1].</w:t>
      </w:r>
    </w:p>
    <w:p>
      <w:pPr>
        <w:spacing w:after="120"/>
      </w:pPr>
      <w:r>
        <w:rPr>
          <w:rFonts w:ascii="Calibri" w:hAnsi="Calibri"/>
          <w:b w:val="0"/>
          <w:color w:val="3A4A28"/>
          <w:sz w:val="20"/>
        </w:rPr>
        <w:t>The structural concern is category maturity: revenue has been roughly flat-to-declining over the past several years (3-year CAGR approximately -1%), and the company faces genuine long-term share risk from AI-personalized e-commerce and DTC beauty brands. Inspiration evidence beyond the SBH Inspires Foundation is thin, and the stock's cheap valuation likely reflects the market pricing in limited structural growth rather than a mispriced opportunity.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margin expansion (50bps gross margin gain in Q1 FY2026) from store refresh and digital initiatives sustaining EPS growth despite flat revenue</w:t>
      </w:r>
    </w:p>
    <w:p>
      <w:pPr>
        <w:spacing w:before="40" w:after="40"/>
        <w:ind w:left="283"/>
      </w:pPr>
      <w:r>
        <w:rPr>
          <w:rFonts w:ascii="Calibri" w:hAnsi="Calibri"/>
          <w:b/>
          <w:color w:val="4A6B25"/>
          <w:sz w:val="20"/>
        </w:rPr>
        <w:t xml:space="preserve">2. </w:t>
      </w:r>
      <w:r>
        <w:rPr>
          <w:rFonts w:ascii="Calibri" w:hAnsi="Calibri"/>
          <w:b w:val="0"/>
          <w:color w:val="3A4A28"/>
          <w:sz w:val="20"/>
        </w:rPr>
        <w:t>Blue Yonder AI-enabled supply chain partnership driving further cost efficiency and working capital improvement</w:t>
      </w:r>
    </w:p>
    <w:p>
      <w:pPr>
        <w:spacing w:before="40" w:after="40"/>
        <w:ind w:left="283"/>
      </w:pPr>
      <w:r>
        <w:rPr>
          <w:rFonts w:ascii="Calibri" w:hAnsi="Calibri"/>
          <w:b/>
          <w:color w:val="4A6B25"/>
          <w:sz w:val="20"/>
        </w:rPr>
        <w:t xml:space="preserve">3. </w:t>
      </w:r>
      <w:r>
        <w:rPr>
          <w:rFonts w:ascii="Calibri" w:hAnsi="Calibri"/>
          <w:b w:val="0"/>
          <w:color w:val="3A4A28"/>
          <w:sz w:val="20"/>
        </w:rPr>
        <w:t>Raised FY2026 guidance (comps flat to +1%) providing a credible floor for near-term estimates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Structurally flat-to-declining revenue (3-year CAGR approximately -1%) in a mature, highly competitive specialty retail category</w:t>
      </w:r>
    </w:p>
    <w:p>
      <w:pPr>
        <w:spacing w:before="40" w:after="40"/>
        <w:ind w:left="283"/>
      </w:pPr>
      <w:r>
        <w:rPr>
          <w:rFonts w:ascii="Calibri" w:hAnsi="Calibri"/>
          <w:b/>
          <w:color w:val="4A6B25"/>
          <w:sz w:val="20"/>
        </w:rPr>
        <w:t xml:space="preserve">2. </w:t>
      </w:r>
      <w:r>
        <w:rPr>
          <w:rFonts w:ascii="Calibri" w:hAnsi="Calibri"/>
          <w:b w:val="0"/>
          <w:color w:val="3A4A28"/>
          <w:sz w:val="20"/>
        </w:rPr>
        <w:t>Long-term AI-driven e-commerce personalization and DTC beauty brand disintermediation risk to the physical specialty retail model</w:t>
      </w:r>
    </w:p>
    <w:p>
      <w:pPr>
        <w:spacing w:before="40" w:after="40"/>
        <w:ind w:left="283"/>
      </w:pPr>
      <w:r>
        <w:rPr>
          <w:rFonts w:ascii="Calibri" w:hAnsi="Calibri"/>
          <w:b/>
          <w:color w:val="4A6B25"/>
          <w:sz w:val="20"/>
        </w:rPr>
        <w:t xml:space="preserve">3. </w:t>
      </w:r>
      <w:r>
        <w:rPr>
          <w:rFonts w:ascii="Calibri" w:hAnsi="Calibri"/>
          <w:b w:val="0"/>
          <w:color w:val="3A4A28"/>
          <w:sz w:val="20"/>
        </w:rPr>
        <w:t>Thin evidence of a distinctive long-term mission or community impact beyond the SBH Inspires Foundation, limiting the Inspiration score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NEUTRAL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Sally Beauty's dual retail-plus-B2B-distribution model to salon professionals provides partial insulation from pure e-commerce disintermediation, but AI-personalized recommendation engines at Amazon and DTC beauty brands increasingly compress the value of physical specialty retail for the consumer-facing Sally Beauty Supply segment, a genuine structural headwind for a mature, largely flat-growth retailer [1][4]. AI Opportunity Tiebreaker (1/1): The company has concretely deployed AI-powered virtual try-on technology in stores and its app and partnered with Blue Yonder to apply AI-driven planning and execution to its supply chain, both measurable efficiency and experience levers already in production [4][6].</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Sally Beauty Holdings (SBH) Is Up 5.3% After Strong Earnings and Raised Outlook for 2026, Yahoo Finance, 2026</w:t>
      </w:r>
    </w:p>
    <w:p>
      <w:pPr>
        <w:spacing w:before="20" w:after="20"/>
        <w:ind w:left="170"/>
      </w:pPr>
      <w:r>
        <w:rPr>
          <w:rFonts w:ascii="Calibri" w:hAnsi="Calibri"/>
          <w:b/>
          <w:color w:val="4A6B25"/>
          <w:sz w:val="15"/>
        </w:rPr>
        <w:t xml:space="preserve">2. </w:t>
      </w:r>
      <w:r>
        <w:rPr>
          <w:rFonts w:ascii="Calibri" w:hAnsi="Calibri"/>
          <w:b w:val="0"/>
          <w:color w:val="3A4A28"/>
          <w:sz w:val="17"/>
        </w:rPr>
        <w:t>Sally Beauty Holdings (SBH) Revenue 2015-2025, stockanalysis.com, 2026</w:t>
      </w:r>
    </w:p>
    <w:p>
      <w:pPr>
        <w:spacing w:before="20" w:after="20"/>
        <w:ind w:left="170"/>
      </w:pPr>
      <w:r>
        <w:rPr>
          <w:rFonts w:ascii="Calibri" w:hAnsi="Calibri"/>
          <w:b/>
          <w:color w:val="4A6B25"/>
          <w:sz w:val="15"/>
        </w:rPr>
        <w:t xml:space="preserve">3. </w:t>
      </w:r>
      <w:r>
        <w:rPr>
          <w:rFonts w:ascii="Calibri" w:hAnsi="Calibri"/>
          <w:b w:val="0"/>
          <w:color w:val="3A4A28"/>
          <w:sz w:val="17"/>
        </w:rPr>
        <w:t>Sally Beauty (SBH) Q2 2026 EPS Strength Supports Bullish Margin Expansion Narratives, Simply Wall St News, 2026</w:t>
      </w:r>
    </w:p>
    <w:p>
      <w:pPr>
        <w:spacing w:before="20" w:after="20"/>
        <w:ind w:left="170"/>
      </w:pPr>
      <w:r>
        <w:rPr>
          <w:rFonts w:ascii="Calibri" w:hAnsi="Calibri"/>
          <w:b/>
          <w:color w:val="4A6B25"/>
          <w:sz w:val="15"/>
        </w:rPr>
        <w:t xml:space="preserve">4. </w:t>
      </w:r>
      <w:r>
        <w:rPr>
          <w:rFonts w:ascii="Calibri" w:hAnsi="Calibri"/>
          <w:b w:val="0"/>
          <w:color w:val="3A4A28"/>
          <w:sz w:val="17"/>
        </w:rPr>
        <w:t>Sally Beauty CEO Denise Paulonis on Embracing Innovation, Women in Retail, 2026</w:t>
      </w:r>
    </w:p>
    <w:p>
      <w:pPr>
        <w:spacing w:before="20" w:after="20"/>
        <w:ind w:left="170"/>
      </w:pPr>
      <w:r>
        <w:rPr>
          <w:rFonts w:ascii="Calibri" w:hAnsi="Calibri"/>
          <w:b/>
          <w:color w:val="4A6B25"/>
          <w:sz w:val="15"/>
        </w:rPr>
        <w:t xml:space="preserve">5. </w:t>
      </w:r>
      <w:r>
        <w:rPr>
          <w:rFonts w:ascii="Calibri" w:hAnsi="Calibri"/>
          <w:b w:val="0"/>
          <w:color w:val="3A4A28"/>
          <w:sz w:val="17"/>
        </w:rPr>
        <w:t>Beauty Leaders: AI, Efficacy, and Disciplined Growth Will Define 2026, BeautyMatter, 2026</w:t>
      </w:r>
    </w:p>
    <w:p>
      <w:pPr>
        <w:spacing w:before="20" w:after="20"/>
        <w:ind w:left="170"/>
      </w:pPr>
      <w:r>
        <w:rPr>
          <w:rFonts w:ascii="Calibri" w:hAnsi="Calibri"/>
          <w:b/>
          <w:color w:val="4A6B25"/>
          <w:sz w:val="15"/>
        </w:rPr>
        <w:t xml:space="preserve">6. </w:t>
      </w:r>
      <w:r>
        <w:rPr>
          <w:rFonts w:ascii="Calibri" w:hAnsi="Calibri"/>
          <w:b w:val="0"/>
          <w:color w:val="3A4A28"/>
          <w:sz w:val="17"/>
        </w:rPr>
        <w:t>Sally Beauty faces the future with Blue Yonder, blueyonder.com, 2026</w:t>
      </w:r>
    </w:p>
    <w:p>
      <w:pPr>
        <w:spacing w:before="20" w:after="20"/>
        <w:ind w:left="170"/>
      </w:pPr>
      <w:r>
        <w:rPr>
          <w:rFonts w:ascii="Calibri" w:hAnsi="Calibri"/>
          <w:b/>
          <w:color w:val="4A6B25"/>
          <w:sz w:val="15"/>
        </w:rPr>
        <w:t xml:space="preserve">7. </w:t>
      </w:r>
      <w:r>
        <w:rPr>
          <w:rFonts w:ascii="Calibri" w:hAnsi="Calibri"/>
          <w:b w:val="0"/>
          <w:color w:val="3A4A28"/>
          <w:sz w:val="17"/>
        </w:rPr>
        <w:t>Sally Beauty Holdings, Inc. ESG Risk Rating, Sustainalytics, 2026</w:t>
      </w:r>
    </w:p>
    <w:p>
      <w:pPr>
        <w:spacing w:before="20" w:after="20"/>
        <w:ind w:left="170"/>
      </w:pPr>
      <w:r>
        <w:rPr>
          <w:rFonts w:ascii="Calibri" w:hAnsi="Calibri"/>
          <w:b/>
          <w:color w:val="4A6B25"/>
          <w:sz w:val="15"/>
        </w:rPr>
        <w:t xml:space="preserve">8. </w:t>
      </w:r>
      <w:r>
        <w:rPr>
          <w:rFonts w:ascii="Calibri" w:hAnsi="Calibri"/>
          <w:b w:val="0"/>
          <w:color w:val="3A4A28"/>
          <w:sz w:val="17"/>
        </w:rPr>
        <w:t>How ethical is Sally Beauty Holdings?, Ethical Consumer, 2026</w:t>
      </w:r>
    </w:p>
    <w:p>
      <w:pPr>
        <w:spacing w:before="20" w:after="20"/>
        <w:ind w:left="170"/>
      </w:pPr>
      <w:r>
        <w:rPr>
          <w:rFonts w:ascii="Calibri" w:hAnsi="Calibri"/>
          <w:b/>
          <w:color w:val="4A6B25"/>
          <w:sz w:val="15"/>
        </w:rPr>
        <w:t xml:space="preserve">9. </w:t>
      </w:r>
      <w:r>
        <w:rPr>
          <w:rFonts w:ascii="Calibri" w:hAnsi="Calibri"/>
          <w:b w:val="0"/>
          <w:color w:val="3A4A28"/>
          <w:sz w:val="17"/>
        </w:rPr>
        <w:t>yfinance — SBH key statistics,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