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SBRA</w:t>
      </w:r>
      <w:r>
        <w:rPr>
          <w:rFonts w:ascii="Calibri" w:hAnsi="Calibri"/>
          <w:b/>
          <w:color w:val="1A2010"/>
          <w:sz w:val="40"/>
        </w:rPr>
        <w:t xml:space="preserve">  Sabra Health Care REIT, Inc.</w:t>
      </w:r>
    </w:p>
    <w:p>
      <w:pPr>
        <w:spacing w:after="120"/>
      </w:pPr>
      <w:r>
        <w:rPr>
          <w:rFonts w:ascii="Calibri" w:hAnsi="Calibri"/>
          <w:b/>
          <w:color w:val="6E8450"/>
          <w:sz w:val="18"/>
        </w:rPr>
        <w:t>DIVIDEND SLEEVE · 2026-09-06 · Inspire: 37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Healthcare · NASDAQ · United States</w:t>
      </w:r>
    </w:p>
    <w:p>
      <w:pPr>
        <w:spacing w:after="80"/>
      </w:pPr>
      <w:r>
        <w:rPr>
          <w:rFonts w:ascii="Calibri" w:hAnsi="Calibri"/>
          <w:b w:val="0"/>
          <w:color w:val="3A4A28"/>
          <w:sz w:val="20"/>
        </w:rPr>
        <w:t>Sabra Health Care REIT, Inc. is a self-administered, self-managed REIT that owns and invests in skilled nursing facilities, senior housing communities, behavioral health facilities, and other healthcare properties across the United States and Canada. The company is actively pivoting toward managed senior housing (SHOP), targeting 30-40% SHOP exposure by end of 2026. FY2025 revenue was $775.8M (+10.4% YoY), and Q2 2026 revenue reached $238.1M (+25% YoY). Same-store managed senior housing occupancy is up 280 bps to 88.4%. The company has closed or awarded $400M+ in investments YTD 2026 and raised its 2026 guidance, projecting 7-8% normalized FFO/AFFO growth.</w:t>
      </w:r>
    </w:p>
    <w:p>
      <w:r>
        <w:rPr>
          <w:rFonts w:ascii="Calibri" w:hAnsi="Calibri"/>
          <w:b/>
          <w:color w:val="6E8450"/>
          <w:sz w:val="18"/>
        </w:rPr>
        <w:t>58 Employees · https://www.sabrahealth.com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Sabra executed its most substantial investment year since pre-pandemic in 2025 (~$450M deployed) and has already closed or awarded $400M+ YTD 2026, primarily in senior housing acquisitions [1][2]. The strategic pivot from skilled nursing dominance toward SHOP is well-timed given demographic tailwinds, and surpassing 50% private pay concentration reduces government reimbursement risk. However, property acquisition is portfolio rotation rather than innovation in the traditional sense. AI Deployment (1/2): CEO Matros has described AI adoption at both operator and corporate levels — operators use AI for falls management and risk assessment, while corporate uses AI to speed NDA review, offering memorandum analysis, and underwriting ('What takes a week or two weeks will be done in hours') [3]. However, no quantified savings or AI-driven competitive advantage has been disclosed. Market Share (1/2): Mid-sized healthcare REIT smaller than Welltower and Ventas, but carving a niche with competitive deal sourcing — year-to-date 2026 acquisitions at 7.9% initial cash yield demonstrate ability to win deals in a competitive market [2]. Product Pipeline (1/2): The awarded investment pipeline of ~$410M at 6.8% estimated initial yield and the baby boomer demographic wave provide near-term and secular visibility [2]. R&amp;D Intensity (0/1): REITs do not conduct R&amp;D — capital is deployed into property acquisitions.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Rick Matros has led Sabra since co-founding in 2010, providing 16 years of consistent leadership [3]. The company's purpose of providing capital for senior care facilities is societally meaningful, and Matros has described culture as 'the most important ingredient to a company's success,' emphasizing an inclusive, collaborative environment [3]. However, mission articulation remains primarily financial (yields, coverage ratios, portfolio optimization) rather than deeply purpose-driven. Community Impact (1/2): Sabra's Inspire Impact score of 37 (ALIGNED) with positive attributions across Data Security, Energy Management, Hiring Ethics, and Water Conservation indicates meaningful ESG commitment [4]. The shift toward managed SHOP gives the company more direct influence over care quality. Employee Retention (0/2): With only 58 employees, the workforce is too small to meaningfully assess retention dynamics. This is typical of self-managed REITs where most operational staff belong to property operators. Insider Buying (1/2): Matros has maintained leadership since founding, providing structural alignment. Recent insider activity shows net selling of $302K over 90 days, primarily by an EVP, with limited net buying beyond compensation-based awards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Dividend stock. Q2 2026 revenue of $238.1M (+25% YoY) reflects continued portfolio growth, though GAAP Q2 FFO showed a one-time loss of $0.021/share versus $0.45 in Q2 2025, likely from impairment or sale charges — the company simultaneously raised 2026 guidance to 7-8% normalized FFO/AFFO growth [1][2]. The quarterly dividend of $0.30/share represents ~77% of normalized AFFO, a sustainable REIT payout, though the GAAP payout ratio exceeds 190% due to non-cash depreciation charges typical of real estate accounting [1]. D/E of 95.67% scores 0.89 (moderate for REIT sector). ROE of 2.39% is depressed by REIT property depreciation. Revenue growth of 25% (Q2) scores 1.0. Forward P/E of ~28x scores 0.80. Profit margin of ~20% scores 1.0. Consecutive years paid (~16 since 2010) scores 1.0 with 2x weight. Consecutive years growth of 0 and dividend growth CAGR of -7.8% (from 2020 cut) both score 0.0. Liquidity floor cleared: ~2.8M avg daily volume at $20.77 = ~$58.2M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Sabra under Rick Matros operates as a competent, financially disciplined healthcare REIT that has demonstrated adaptability in shifting toward senior housing. However, the company plays more of a finite game — optimizing yields, managing tenant relationships, and executing acquisitions within a well-defined playbook. No transcendent Just Cause is articulated beyond financial returns, and the 58-person team size limits organizational depth. The portfolio pivot is smart but incremental rather than transformative, and the frozen dividend since 2021 reflects cautious capital allocation.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Matros has led Sabra since founding with a focus on healthcare real estate. The implicit cause — providing capital that enables senior care and healthcare facilities — is societally meaningful, and Matros' emphasis on 'culture as the most important ingredient' suggests genuine values [3]. However, strategic communications focus on yields, coverage ratios, and portfolio optimization rather than a purpose beyond financial returns. The SHOP pivot suggests financial optimization (higher returns, lower reimbursement risk) rather than mission-driven expansion of care access.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58 employees, Sabra's organizational culture is difficult to assess at scale [1]. Matros' emphasis on inclusive, collaborative culture and his 16-year tenure as CEO provides leadership stability [3]. Recent leadership promotions from within (February 2025) suggest internal development opportunities. However, REIT management teams are primarily financial operators managing external tenant relationships, a different trust dynamic than product-building organizations.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Matros acknowledged 'fierce competition from OpCo and PropCo private buyers' for skilled nursing deals, demonstrating awareness of the competitive landscape [3]. The strategic response — shifting toward SHOP where Sabra can differentiate through operational management — shows rival-informed strategy. Sabra competes with much larger healthcare REITs (Welltower, Ventas) and recognizes its differentiated positioning in the mid-market.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Sabra has executed a meaningful portfolio pivot over 2024-2026, shifting from skilled nursing dominance (now ~47% of NOI) toward managed SHOP exposure targeting 30-40% [2][3]. Surpassing 50% private pay concentration reduces government reimbursement dependence. This demonstrates strategic flexibility, but the pivot is gradual and incremental rather than transformative, operating within the existing healthcare REIT framework.</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Matros has projected robust 2026 portfolio growth eclipsing 2025's $450M record, with $400M+ already closed or awarded YTD [2]. The willingness to opportunistically sell skilled nursing properties while aggressively acquiring senior housing shows strategic discipline. However, these are prudent portfolio management decisions rather than courageous bets risking near-term performance. The frozen $1.20 annual dividend since 2021 (following a 33% COVID-era cut from $1.80) reflects cautious rather than bold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Sabra Health Care REIT offers a 5.80% dividend yield supported by ~77% AFFO payout coverage, positioned to benefit from the most powerful demographic tailwind in U.S. real estate — 10,000 Americans turning 65 daily with limited new senior housing supply [1][2]. Q2 2026 revenue of $238.1M (+25% YoY) and same-store SHOP occupancy gains of 280 bps to 88.4% demonstrate the pivot to managed senior housing is delivering results [2]. The company has closed or awarded $400M+ in investments YTD 2026 at attractive yields and raised 2026 guidance to 7-8% normalized FFO/AFFO growth [1]. Surpassing 50% private pay concentration reduces government reimbursement risk [3]. The Inspire Impact Score of 37 (ALIGNED) and Matros' emphasis on culture and quality care add appeal for faith-based investors.</w:t>
      </w:r>
    </w:p>
    <w:p>
      <w:pPr>
        <w:spacing w:after="120"/>
      </w:pPr>
      <w:r>
        <w:rPr>
          <w:rFonts w:ascii="Calibri" w:hAnsi="Calibri"/>
          <w:b w:val="0"/>
          <w:color w:val="3A4A28"/>
          <w:sz w:val="20"/>
        </w:rPr>
        <w:t>The primary concern is valuation relative to growth. At ~28x forward earnings and PEG of 5.28, Sabra is priced for growth acceleration that the 7-8% FFO guidance only partially supports [1]. The GAAP Q2 2026 FFO loss of $0.021/share (versus $0.45 in Q2 2025) — while likely one-time — raises transparency questions about GAAP vs. normalized earnings. The SHOP pivot introduces operational risk — unlike triple-net leases, managed SHOP properties expose Sabra to labor costs, occupancy fluctuations, and execution challenges. The $1.20 annual dividend has been frozen since 2021 following a 33% COVID cut, with a 5-year dividend CAGR of -7.8% that penalizes income-growth investors [3]. D/E of 95.67% is moderate but rising rates would pressure refinancing costs. Net insider selling of $302K over 90 days suggests limited executive conviction beyond compensation-based equity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Baby boomer demographic wave driving sustained senior housing demand with limited new supply — same-store SHOP occupancy up 280 bps to 88.4% with runway to pre-pandemic levels above 90% [2]</w:t>
      </w:r>
    </w:p>
    <w:p>
      <w:pPr>
        <w:spacing w:before="40" w:after="40"/>
        <w:ind w:left="283"/>
      </w:pPr>
      <w:r>
        <w:rPr>
          <w:rFonts w:ascii="Calibri" w:hAnsi="Calibri"/>
          <w:b/>
          <w:color w:val="4A6B25"/>
          <w:sz w:val="20"/>
        </w:rPr>
        <w:t xml:space="preserve">2. </w:t>
      </w:r>
      <w:r>
        <w:rPr>
          <w:rFonts w:ascii="Calibri" w:hAnsi="Calibri"/>
          <w:b w:val="0"/>
          <w:color w:val="3A4A28"/>
          <w:sz w:val="20"/>
        </w:rPr>
        <w:t>2026 investment pipeline of $400M+ already closed or awarded at attractive yields, with management projecting total 2026 investments to exceed 2025's $450M record — accelerating portfolio growth while expanding SHOP exposure toward 30-40% [2]</w:t>
      </w:r>
    </w:p>
    <w:p>
      <w:pPr>
        <w:spacing w:before="40" w:after="40"/>
        <w:ind w:left="283"/>
      </w:pPr>
      <w:r>
        <w:rPr>
          <w:rFonts w:ascii="Calibri" w:hAnsi="Calibri"/>
          <w:b/>
          <w:color w:val="4A6B25"/>
          <w:sz w:val="20"/>
        </w:rPr>
        <w:t xml:space="preserve">3. </w:t>
      </w:r>
      <w:r>
        <w:rPr>
          <w:rFonts w:ascii="Calibri" w:hAnsi="Calibri"/>
          <w:b w:val="0"/>
          <w:color w:val="3A4A28"/>
          <w:sz w:val="20"/>
        </w:rPr>
        <w:t>Raised 2026 guidance targeting 7-8% normalized FFO/AFFO growth, with private pay concentration exceeding 50% for the first time improving revenue quality and reducing government reimbursement dependency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PEG of 5.28 and forward P/E of ~28x reflect a premium valuation relative to single-digit FFO growth — any growth disappointment, interest rate spike, or Q2 2026-style GAAP loss could compress the multiple significantly [1]</w:t>
      </w:r>
    </w:p>
    <w:p>
      <w:pPr>
        <w:spacing w:before="40" w:after="40"/>
        <w:ind w:left="283"/>
      </w:pPr>
      <w:r>
        <w:rPr>
          <w:rFonts w:ascii="Calibri" w:hAnsi="Calibri"/>
          <w:b/>
          <w:color w:val="4A6B25"/>
          <w:sz w:val="20"/>
        </w:rPr>
        <w:t xml:space="preserve">2. </w:t>
      </w:r>
      <w:r>
        <w:rPr>
          <w:rFonts w:ascii="Calibri" w:hAnsi="Calibri"/>
          <w:b w:val="0"/>
          <w:color w:val="3A4A28"/>
          <w:sz w:val="20"/>
        </w:rPr>
        <w:t>SHOP operational exposure introduces labor cost, occupancy, and execution risk that triple-net leases insulate against — Sabra is transitioning from rent collector to partial operator without deep operational expertise, and the Q2 GAAP FFO loss highlights this transition risk [2]</w:t>
      </w:r>
    </w:p>
    <w:p>
      <w:pPr>
        <w:spacing w:before="40" w:after="40"/>
        <w:ind w:left="283"/>
      </w:pPr>
      <w:r>
        <w:rPr>
          <w:rFonts w:ascii="Calibri" w:hAnsi="Calibri"/>
          <w:b/>
          <w:color w:val="4A6B25"/>
          <w:sz w:val="20"/>
        </w:rPr>
        <w:t xml:space="preserve">3. </w:t>
      </w:r>
      <w:r>
        <w:rPr>
          <w:rFonts w:ascii="Calibri" w:hAnsi="Calibri"/>
          <w:b w:val="0"/>
          <w:color w:val="3A4A28"/>
          <w:sz w:val="20"/>
        </w:rPr>
        <w:t>Frozen $1.20 annual dividend since 2021 and -7.8% 5-year dividend CAGR penalize income-growth investors — no dividend increase despite rising FFO creates a disconnect between operational improvement and shareholder returns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Healthcare real estate is structurally insulated from AI disruption — physical buildings housing skilled nursing patients and senior living residents cannot be replaced by software, and the baby boomer demographic wave creates irreducible demand [1][2]. Sabra's triple-net lease model further insulates as tenants bear operational risk while Sabra collects contractual rent. CEO Matros is actively adopting AI at the corporate level to speed underwriting and deal analysis, and at the operator level for falls management and risk assessment [3]. However, AI-enabled remote health monitoring and telemedicine could eventually reduce intensity of facility-based care, dampening demand growth at the margin. The SHOP pivot gives Sabra more operational exposure that could benefit from AI optimization but also creates execution risk. Interest rate sensitivity and government reimbursement policy remain far greater risks than AI disruption. AI Opportunity (1/1): Matros has specifically articulated AI benefits — corporate deal analysis compressed from weeks to hours, and operator-level AI for resident outcomes including falls management and risk assessment [3]. While not a revenue driver, AI is being deployed as an operational efficiency tool across the portfolio.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Sabra Health Care REIT Q2 2026 Results — Revenue $238.1M (+25%), GAAP FFO -$0.021/share, 2026 guidance raised to 7-8% normalized FFO growth, SEC Form 8-K, July 2026</w:t>
      </w:r>
    </w:p>
    <w:p>
      <w:pPr>
        <w:spacing w:before="20" w:after="20"/>
        <w:ind w:left="170"/>
      </w:pPr>
      <w:r>
        <w:rPr>
          <w:rFonts w:ascii="Calibri" w:hAnsi="Calibri"/>
          <w:b/>
          <w:color w:val="4A6B25"/>
          <w:sz w:val="15"/>
        </w:rPr>
        <w:t xml:space="preserve">2. </w:t>
      </w:r>
      <w:r>
        <w:rPr>
          <w:rFonts w:ascii="Calibri" w:hAnsi="Calibri"/>
          <w:b w:val="0"/>
          <w:color w:val="3A4A28"/>
          <w:sz w:val="17"/>
        </w:rPr>
        <w:t>Sabra Q1 2026 Results and Investment Pipeline — Same-store SHOP occupancy 88.4% (+280 bps), $277M YTD acquisitions at 7.9% yield, $410M awarded pipeline, April 2026</w:t>
      </w:r>
    </w:p>
    <w:p>
      <w:pPr>
        <w:spacing w:before="20" w:after="20"/>
        <w:ind w:left="170"/>
      </w:pPr>
      <w:r>
        <w:rPr>
          <w:rFonts w:ascii="Calibri" w:hAnsi="Calibri"/>
          <w:b/>
          <w:color w:val="4A6B25"/>
          <w:sz w:val="15"/>
        </w:rPr>
        <w:t xml:space="preserve">3. </w:t>
      </w:r>
      <w:r>
        <w:rPr>
          <w:rFonts w:ascii="Calibri" w:hAnsi="Calibri"/>
          <w:b w:val="0"/>
          <w:color w:val="3A4A28"/>
          <w:sz w:val="17"/>
        </w:rPr>
        <w:t>Sabra CEO Rick Matros Strategic Commentary — SHOP pivot to 30-40%, AI adoption at operator and corporate levels, culture emphasis, Senior Housing News/McKnight's, 2025-2026</w:t>
      </w:r>
    </w:p>
    <w:p>
      <w:pPr>
        <w:spacing w:before="20" w:after="20"/>
        <w:ind w:left="170"/>
      </w:pPr>
      <w:r>
        <w:rPr>
          <w:rFonts w:ascii="Calibri" w:hAnsi="Calibri"/>
          <w:b/>
          <w:color w:val="4A6B25"/>
          <w:sz w:val="15"/>
        </w:rPr>
        <w:t xml:space="preserve">4. </w:t>
      </w:r>
      <w:r>
        <w:rPr>
          <w:rFonts w:ascii="Calibri" w:hAnsi="Calibri"/>
          <w:b w:val="0"/>
          <w:color w:val="3A4A28"/>
          <w:sz w:val="17"/>
        </w:rPr>
        <w:t>Inspire Insight — SBRA Faith-Based ESG Score 37 (ALIGNED) and Attributions,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SimplyWallSt — SBRA Key Statistics: Stock price $20.77, Market cap $5.31B, D/E 95.67%, ROE 2.39%, Dividend yield 5.80%, Net insider selling $302K,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