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SCCO</w:t>
      </w:r>
      <w:r>
        <w:rPr>
          <w:rFonts w:ascii="Calibri" w:hAnsi="Calibri"/>
          <w:b/>
          <w:color w:val="1A2010"/>
          <w:sz w:val="40"/>
        </w:rPr>
        <w:t xml:space="preserve">  Southern Copper Corporation</w:t>
      </w:r>
    </w:p>
    <w:p>
      <w:pPr>
        <w:spacing w:after="120"/>
      </w:pPr>
      <w:r>
        <w:rPr>
          <w:rFonts w:ascii="Calibri" w:hAnsi="Calibri"/>
          <w:b/>
          <w:color w:val="6E8450"/>
          <w:sz w:val="18"/>
        </w:rPr>
        <w:t>DIVIDEND SLEEVE · 2026-09-13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Copper Mining · NYSE · United States</w:t>
      </w:r>
    </w:p>
    <w:p>
      <w:pPr>
        <w:spacing w:after="80"/>
      </w:pPr>
      <w:r>
        <w:rPr>
          <w:rFonts w:ascii="Calibri" w:hAnsi="Calibri"/>
          <w:b w:val="0"/>
          <w:color w:val="3A4A28"/>
          <w:sz w:val="20"/>
        </w:rPr>
        <w:t>Southern Copper Corporation is one of the world's largest integrated copper producers, engaged in mining, smelting, and refining copper, molybdenum, zinc, and silver. Operations are concentrated in Peru and Mexico, with exploration activities in Argentina and Chile. The company is 88.9% owned by Grupo Mexico and holds one of the largest copper reserve bases in the industry. Following the sudden death of long-tenured CEO Oscar Gonzalez Rocha in April 2026, Leonardo Contreras Lerdo de Tejada was appointed CEO. Q2 2026 revenue reached a record $4.29B (+40.6% YoY) driven by copper prices climbing nearly 40% on the LME.</w:t>
      </w:r>
    </w:p>
    <w:p>
      <w:r>
        <w:rPr>
          <w:rFonts w:ascii="Calibri" w:hAnsi="Calibri"/>
          <w:b/>
          <w:color w:val="6E8450"/>
          <w:sz w:val="18"/>
        </w:rPr>
        <w:t>16,617 Employees · https://southerncoppercorp.com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SCCO has not pivoted its business model; growth comes from organic mine expansion (Buenavista Zinc-Silver, Pilares, El Pilar) and commodity price leverage rather than business transformation [1]. AI Deployment (0/2): No company-reported quantified AI-driven cost savings or AI-powered products. While industry reports suggest AI-driven autonomous equipment in mining, SCCO has not disclosed specific measurable results. Market Share (2/2): SCCO holds one of the world's largest copper reserve bases and is a top-tier global producer across Peru and Mexico, with record Q2 2026 revenue of $4.29B demonstrating its scale as a structural beneficiary of rising copper demand [1][2]. Product Pipeline (1/2): A $20.5B capital investment program for this decade includes major projects in Peru and Mexico, but the flagship Tia Maria project has been stalled by community opposition since 2011, and the broader program is pending regulatory approvals with uncertain execution timelines [3]. R&amp;D Intensity (0/1): No evidence of above-average R&amp;D spend versus mining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SCCO's stated purpose centers on generating wealth while upholding safety, ethics, and environmental stewardship, organized around 'Grow, Promote, Protect' pillars with a 2050 net-zero Scope 1 &amp; 2 emissions target and 40% reduction by 2035 — clear but standard mining-industry ESG framing rather than a distinctive cause [3]. Community Impact (2/2): The company has invested approximately $379.9M since 2019 in social and philanthropic projects (~3.5% of net earnings annually), launched an ESG medical program in Ilo, Peru, and committed $70M+ to community development across Mexico and Peru — significant, distinctive investment with specific dollar amounts [3][4]. Employee Retention (1/2): Glassdoor rates SCCO 4/5 stars overall with 77% of employees recommending the company, though culture scored 3.3/5 and no specific tenure or turnover data is available [3]. Insider Buying (0/2): No insider buying data found; the company is navigating a CEO transition following Oscar Gonzalez Rocha's unexpected death in April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SCCO posted record Q2 2026 revenue of $4.29B (+40.6% YoY) and H1 revenue of $8.54B (+38.4% YoY), driven by copper prices climbing nearly 40% on the LME and silver surging 118.6% [1]. ROE of 49.90% and profit margin of 35.87% both score 1.0, among the best in the mining sector [5]. D/E of 68% is just below the 70% target, scoring 1.0 [5]. Revenue growth YoY of 40.6% scores 1.0. Forward P/E of 27.53 scores 0.81, reflecting the premium the market places on SCCO's reserve base and AI-driven copper demand narrative. Revenue growth 5yr CAGR of ~9% ($10.9B 2021 to ~$17B annualized 2026) scores 0.93. Dividend: consecutive years paid 28 (1.0, 2× weight), payout ratio 56.1% (0.73), consecutive years growth 2 (0.20), 5yr dividend growth CAGR 7.21% (1.0, 2× weight). Weighted sum 10.68 / 12 = 8.9 → 9. Liquidity floor cleared: ~1.5M avg volume × $211.60 = ~$317M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Southern Copper operates as a well-run, financially disciplined commodity producer with a decades-long track record, but evidence points to a finite operating posture. The mission is standard mining-industry ESG language, the sudden loss of the 26-year CEO exposes leadership-succession fragility, the $20.5B capital investment program shows long-term commitment but is execution-dependent on regulatory approvals, and there is no evidence of transformative strategic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SCCO's purpose centers on shareholder wealth generation within safety and environmental guardrails — genuine in its $379.9M cumulative community investment and net-zero 2050 commitment, but largely interchangeable with peer mining ESG commitments rather than a distinctive, resilient cause that shapes strategic decisions [3][4].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shows solid but not exceptional engagement (4/5 overall, 3.3/5 culture, 77% recommend), and the company had 26+ years of CEO stability under Oscar Gonzalez Rocha until his sudden death in April 2026 triggered an unplanned transition to Leonardo Contreras Lerdo de Tejada — the succession was handled smoothly but was not a planned process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SCCO publicly framing competitors like Freeport-McMoRan or Codelco as sources of self-improvement. Competitive positioning centers on reserve base size and cost curve advantage rather than acknowledged rivalry or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SCCO has diversified byproduct output (zinc, silver, molybdenum) and expanded exploration into Argentina and Chile, but this represents incremental extension of the existing copper-mining model rather than a transformative pivot. The company has mined copper for decades and shows no evidence of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$20.5B capital investment program for this decade and 15+ years of persistence on the Tia Maria project in Peru despite community opposition and fatal protests demonstrate sustained long-term capital commitment through cycles [3]. The net-zero 2050 commitment with 40% reduction by 2035 shows willingness to invest in sustainability beyond near-term earnings. However, Tia Maria persistence also raises questions about social-license judgment.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Southern Copper posted record Q2 2026 revenue of $4.29B (+40.6% YoY) and diluted EPS of $2.01 (beating $1.95 consensus), with H1 revenue of $8.54B and EPS of $3.93 (+69% YoY), driven by copper prices climbing nearly 40% on the LME and silver surging 118.6% [1][2]. The company sits at the center of the AI-driven electrification supercycle: S&amp;P Global projects copper demand to surge 50% by 2040 with a widening supply deficit, and SCCO's position as one of the world's largest copper reserve holders makes it a structural beneficiary [6]. ROE of 49.90%, profit margin of 35.87%, and D/E of 68% represent best-in-class financials for a commodity producer. The 28-year unbroken dividend record with 2.23% yield and 7.21% 5yr dividend growth CAGR supports the Dividend sleeve. Citi raised its price target to $108 (likely pre-split basis), reflecting growing institutional recognition of the copper supercycle thesis.</w:t>
      </w:r>
    </w:p>
    <w:p>
      <w:pPr>
        <w:spacing w:after="120"/>
      </w:pPr>
      <w:r>
        <w:rPr>
          <w:rFonts w:ascii="Calibri" w:hAnsi="Calibri"/>
          <w:b w:val="0"/>
          <w:color w:val="3A4A28"/>
          <w:sz w:val="20"/>
        </w:rPr>
        <w:t>The primary offsets are valuation, cyclicality, and execution risk. Forward P/E of 27.53x is premium for a commodity producer and prices in sustained high copper prices — any cyclical downturn in copper would compress both earnings and the multiple simultaneously [5]. Revenue growth 5yr CAGR of ~9% masks significant commodity-price-driven volatility rather than structural volume growth, and production has been declining (2026 guidance of 911,400 tons, down 4.7% from 2025's 956,270 tons), meaning near-term earnings depend entirely on price rather than volume [1]. The sudden April 2026 death of CEO Oscar Gonzalez Rocha after 26 years introduces leadership continuity risk under untested successor Leonardo Contreras Lerdo de Tejada [3]. Community and environmental friction is structural — the Tia Maria project stalled since 2011 amid fatal protests, and the Los Chancas camp was attacked and burned, underscoring the social-license risk embedded in Peru/Mexico mining [3]. The 88.9% Grupo Mexico ownership concentration limits minority shareholder influence on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and grid electrification buildout structurally lifting copper demand — S&amp;P Global projects demand from 28M to 42M metric tons by 2040 with a widening supply deficit that benefits low-cost producers like SCCO [6]</w:t>
      </w:r>
    </w:p>
    <w:p>
      <w:pPr>
        <w:spacing w:before="40" w:after="40"/>
        <w:ind w:left="283"/>
      </w:pPr>
      <w:r>
        <w:rPr>
          <w:rFonts w:ascii="Calibri" w:hAnsi="Calibri"/>
          <w:b/>
          <w:color w:val="4A6B25"/>
          <w:sz w:val="20"/>
        </w:rPr>
        <w:t xml:space="preserve">2. </w:t>
      </w:r>
      <w:r>
        <w:rPr>
          <w:rFonts w:ascii="Calibri" w:hAnsi="Calibri"/>
          <w:b w:val="0"/>
          <w:color w:val="3A4A28"/>
          <w:sz w:val="20"/>
        </w:rPr>
        <w:t>Execution on the $20.5B capital investment program including resolution of Tia Maria permitting in Peru, which could unlock meaningful new production capacity and reverse the 2025-2026 production volume decline</w:t>
      </w:r>
    </w:p>
    <w:p>
      <w:pPr>
        <w:spacing w:before="40" w:after="40"/>
        <w:ind w:left="283"/>
      </w:pPr>
      <w:r>
        <w:rPr>
          <w:rFonts w:ascii="Calibri" w:hAnsi="Calibri"/>
          <w:b/>
          <w:color w:val="4A6B25"/>
          <w:sz w:val="20"/>
        </w:rPr>
        <w:t xml:space="preserve">3. </w:t>
      </w:r>
      <w:r>
        <w:rPr>
          <w:rFonts w:ascii="Calibri" w:hAnsi="Calibri"/>
          <w:b w:val="0"/>
          <w:color w:val="3A4A28"/>
          <w:sz w:val="20"/>
        </w:rPr>
        <w:t>Continued copper price strength above $5/lb sustaining record-level earnings and supporting potential dividend increases, with H1 2026 EPS of $3.93 already surpassing full-year 2025 EPS of $5.19 at the current 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copper production guidance of 911,400 tons implies a 4.7% YoY decline versus 2025's 956,270 tons — earnings growth is entirely dependent on copper prices staying elevated rather than on operational volume growth [1]</w:t>
      </w:r>
    </w:p>
    <w:p>
      <w:pPr>
        <w:spacing w:before="40" w:after="40"/>
        <w:ind w:left="283"/>
      </w:pPr>
      <w:r>
        <w:rPr>
          <w:rFonts w:ascii="Calibri" w:hAnsi="Calibri"/>
          <w:b/>
          <w:color w:val="4A6B25"/>
          <w:sz w:val="20"/>
        </w:rPr>
        <w:t xml:space="preserve">2. </w:t>
      </w:r>
      <w:r>
        <w:rPr>
          <w:rFonts w:ascii="Calibri" w:hAnsi="Calibri"/>
          <w:b w:val="0"/>
          <w:color w:val="3A4A28"/>
          <w:sz w:val="20"/>
        </w:rPr>
        <w:t>CEO transition following Oscar Gonzalez Rocha's sudden death in April 2026 after 26 years introduces leadership continuity risk under untested successor Leonardo Contreras Lerdo de Tejada, the first CEO change in a generation [3]</w:t>
      </w:r>
    </w:p>
    <w:p>
      <w:pPr>
        <w:spacing w:before="40" w:after="40"/>
        <w:ind w:left="283"/>
      </w:pPr>
      <w:r>
        <w:rPr>
          <w:rFonts w:ascii="Calibri" w:hAnsi="Calibri"/>
          <w:b/>
          <w:color w:val="4A6B25"/>
          <w:sz w:val="20"/>
        </w:rPr>
        <w:t xml:space="preserve">3. </w:t>
      </w:r>
      <w:r>
        <w:rPr>
          <w:rFonts w:ascii="Calibri" w:hAnsi="Calibri"/>
          <w:b w:val="0"/>
          <w:color w:val="3A4A28"/>
          <w:sz w:val="20"/>
        </w:rPr>
        <w:t>Community and regulatory opposition in Peru and Mexico (Tia Maria stalled since 2011, Los Chancas camp attacked) represents recurring structural risk to project execution and social license to operate, threatening the $20.5B capex pipeline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Copper mining, smelting, and refining are physical-world operations that AI cannot substitute or disrupt. AI is a structural demand tailwind — S&amp;P Global's January 2026 study found a 'substantial shortfall' in copper supply widening as AI and defense spending accelerate demand, projecting total copper demand to surge 50% by 2040 with a single large AI data center requiring up to 50,000 tonnes of copper [6]. SCCO's position as one of the world's largest reserve holders makes it a primary beneficiary. Analysts see zero substitution risk and increasing structural demand. AI Opportunity (0/1): SCCO does not generate AI-specific product revenue. It benefits from AI-driven commodity demand as a raw materials supplier rather than an AI vendor — no direct AI revenue is quantifiable.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Southern Copper Q2 2026 Earnings — Record Revenue $4.29B (+40.6% YoY), EPS $2.01 (beat $1.95), H1 Revenue $8.54B, H1 EPS $3.93 — Investing.com,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Southern Copper Production Struggles Meet Record Prices — Barchart, 247WallSt,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Southern Copper Leadership Transition and ESG — CEO Oscar Gonzalez Rocha death (April 2026), Leonardo Contreras appointed, Glassdoor 4/5, Net-Zero 2050 commitment, $379.9M community investment — SimplyWallSt,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Southern Copper Sustainable Development Report 2023 — $70M+ community development, Copper Mark certification, ESG medical program, 23% renewable electricity — gmexico.com,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SCCO Key Statistics: Stock Price $211.60, Forward P/E 27.53, D/E 68%, ROE 49.90%, Profit Margin 35.87%, Dividend Yield 2.23%,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S&amp;P Global Copper Demand Study — 'Substantial Shortfall' in copper supply widens as AI and defense spending accelerate demand, copper demand to surge 50% by 2040, single AI data center requires up to 50,000 tonnes — January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