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SCI</w:t>
      </w:r>
      <w:r>
        <w:rPr>
          <w:rFonts w:ascii="Calibri" w:hAnsi="Calibri"/>
          <w:b/>
          <w:color w:val="1A2010"/>
          <w:sz w:val="40"/>
        </w:rPr>
        <w:t xml:space="preserve">  Service Corporation International</w:t>
      </w:r>
    </w:p>
    <w:p>
      <w:pPr>
        <w:spacing w:after="120"/>
      </w:pPr>
      <w:r>
        <w:rPr>
          <w:rFonts w:ascii="Calibri" w:hAnsi="Calibri"/>
          <w:b/>
          <w:color w:val="6E8450"/>
          <w:sz w:val="18"/>
        </w:rPr>
        <w:t>GROWTH SLEEVE · 2026-09-30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Personal Services · NYSE · United States</w:t>
      </w:r>
    </w:p>
    <w:p>
      <w:pPr>
        <w:spacing w:after="80"/>
      </w:pPr>
      <w:r>
        <w:rPr>
          <w:rFonts w:ascii="Calibri" w:hAnsi="Calibri"/>
          <w:b w:val="0"/>
          <w:color w:val="3A4A28"/>
          <w:sz w:val="20"/>
        </w:rPr>
        <w:t>Service Corporation International is the largest provider of deathcare products and services in North America, operating approximately 1,500 funeral service locations, 500 cemeteries, and related crematoria across the United States and Canada. The company offers funeral services, cremation, cemetery property (lots, crypts, mausoleum spaces, niches), and preneed arrangements under the Dignity Memorial, Neptune Society, and National Cremation Society brands. SCI has grown through decades of acquisition-driven consolidation of the fragmented funeral industry. Revenue of ~$4.37B with FY2026 EPS guidance of $4.10-$4.30. Founded 1962, headquartered in Houston, Texas.</w:t>
      </w:r>
    </w:p>
    <w:p>
      <w:r>
        <w:rPr>
          <w:rFonts w:ascii="Calibri" w:hAnsi="Calibri"/>
          <w:b/>
          <w:color w:val="6E8450"/>
          <w:sz w:val="18"/>
        </w:rPr>
        <w:t>25,000 Employees · https://www.sci-corp.com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SCI has adapted incrementally to the cremation megatrend — cremation now represents approximately 60% of dispositions versus ~30% two decades ago — by expanding cremation infrastructure through the Neptune Society and National Cremation Society brands [1]. The company has also developed digital memorialization services and online tribute capabilities. However, these are gradual market adaptations rather than transformative product launches or business model pivots; the core business of operating funeral homes and cemeteries remains unchanged. AI Deployment (0/2): No evidence of AI-powered products or services, nor quantified AI-driven internal efficiency gains. The funeral services industry has minimal AI adoption, and SCI has not publicly discussed AI strategy or deployment [2]. Market Share (2/2): SCI is the undisputed category leader in North American deathcare with ~$4.37B in revenue, approximately 1,500 funeral homes, and 500 cemeteries — substantially larger than the next competitor. The Dignity Memorial brand is the industry's most recognized consumer brand, and SCI's preneed sales platform locks in market share through advance funeral planning contracts [1]. Product Pipeline (0/2): No specific next-generation products or services with named launch dates and revenue visibility. SCI's growth model relies on acquisition, preneed sales, and pricing rather than product innovation [1]. R&amp;D Intensity (0/1): Not applicable for funeral services — the industry does not have meaningful R&amp;D spending requirements, and SCI does not report R&amp;D expenditures.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SCI's stated vision — 'Celebrating life with dedication, excellence, and innovation' — identifies a meaningful purpose connecting funeral services to honoring human life and supporting families during grief [2]. The Dignity Memorial brand positioning further reinforces this purpose. However, the mission is more of a brand promise than a deeply held organizational purpose that shapes strategic decisions. SCI operates primarily as a financial consolidator of funeral homes, and corporate strategy centers on acquisition multiples, pricing power, and margin optimization rather than mission-driven service excellence. Community &amp; Charitable Impact (1/2): SCI operates inherently community-oriented businesses — funeral homes serve as local gathering places during loss, and the company supports bereavement through memorial services and tributes. SCI has been Great Place to Work certified, suggesting some organizational commitment to stakeholder wellbeing [2]. However, no specific charitable foundations, dollar amounts, or distinctive community investment programs were identified beyond the core business operations. Employee Retention (0/2): Mixed signals on employee experience — SCI is Great Place to Work certified, but Comparably rates the executive team D+ (bottom 25% for companies with 10,000+ employees), and Glassdoor reviews cite 'low pay and little advancement' and micromanagement concerns [2]. The contradictory signals (certified great workplace but poorly rated leadership) suggest pockets of good culture but systemic challenges. Insider Buying (0/2): No evidence of meaningful net insider buying by CEO Thomas Ryan or other executives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SCI demonstrates strong capital efficiency with ROE of 34.71% (well above 15% target, scoring 1.0 with 2x weight) driven by the asset-light funeral operations and preneed trust fund leverage [4]. Forward P/E of 16.71x is below the 20x target, and the forward PEG of 1.39 with 2x weight is reasonable. Revenue growth metrics are weak: YoY growth of only 3.6% (vs 10% target) and estimated 5-year CAGR of ~1.3% reflect the COVID death surge comparison distortion and the mature, slow-growth nature of funeral services [1]. Profit margin of 12.3% is below the 20% target but respectable for a services business. The primary drag is D/E of 344.9%, which exceeds the 300% floor and scores 0 — this reflects SCI's acquisition-driven business model requiring substantial debt and the significant goodwill/intangibles on the balance sheet [4]. The stock clears the liquidity floor at ~$77M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SCI operates with predominantly finite game characteristics despite the inherently meaningful nature of funeral services. The company functions primarily as a financial consolidator — acquiring funeral homes and cemeteries, optimizing pricing and margins, and returning capital through buybacks and dividends. While the preneed sales model demonstrates long-term thinking and the shift to embrace cremation shows adaptability, leadership commentary centers on EPS guidance, margin expansion, and acquisition multiples rather than a Just Cause. The D+ executive team rating on Comparably and micromanagement concerns suggest organizational trust challenges. SCI plays to win in deathcare consolidation rather than playing to advance a larger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'Celebrating life with dedication, excellence, and innovation' is SCI's stated vision, and the Dignity Memorial brand positions the company around honoring human life [2]. The inherent meaning in funeral services — helping families through their darkest moments — provides a natural Just Cause foundation. However, SCI operates primarily as a financial consolidator optimizing acquisition economics, pricing power, and margin expansion. Earnings call commentary focuses on preneed sales production growth (+8%), revenue per case increases, and EPS guidance ranges ($4.10-$4.30) rather than articulating how strategic decisions serve a higher purpose [1]. The cause exists in the brand but is not the driving force behind corporate strategy.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Mixed signals. SCI achieved Great Place to Work certification, which requires 70%+ of surveyed employees to affirm positive workplace experiences [2]. The company employs 25,000 people across 2,000+ locations with reasonable stability. However, Comparably rates the executive team D+ (bottom 25%), and Glassdoor reviews cite 'low pay and little advancement,' micromanagement by 'heavy upper management constantly monitoring your business,' and limited career growth [2]. The contradiction between certification and frontline feedback suggests adequate organizational trust at the location level but significant trust gaps between frontline workers and corporate leadership.</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SCI dominates the funeral industry through scale and acquisition, with no single competitor approaching its size. The competitive strategy is fundamentally accumulative — acquiring independent funeral homes and small chains to expand the footprint — rather than learning from competitors' strengths. No evidence in earnings commentary or public statements of management referencing competitors as sources of inspiration or self-improvement [1]. SCI competes to consolidate the industry rather than to improve through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SCI has adapted to the cremation megatrend — the most significant structural shift in funeral services in modern history — by investing in cremation infrastructure, acquiring the Neptune Society and National Cremation Society, and developing cremation memorialization products [1]. This represents meaningful strategic adaptation to a trend that reduces traditional burial revenue per case. The preneed sales model also demonstrates long-term flexibility, building future revenue pipelines decades in advance. However, the core business model (owning and operating funeral homes and cemeteries) has not fundamentally changed since SCI's founding in 1962. The adaptations are incremental, not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SCI demonstrated courage by embracing the cremation trend rather than resisting it — even though cremation reduces revenue per case from ~$7,000-$9,000 (traditional burial) to ~$3,000-$4,000 (cremation), the company invested in cremation capacity and brands because the trend was irreversible [1]. The preneed sales strategy requires significant upfront investment in sales teams and trust fund management with returns decades in the future. However, SCI's core strategy of acquiring funeral homes at favorable multiples and optimizing margins is more financial engineering than courageous vision. No evidence of truly transformative bets or costly investments in capabilities that sacrifice near-term earnings for long-term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SCI at 16.71x forward earnings is the monopoly franchise in North American deathcare — the largest funeral services company with ~1,500 funeral homes, 500 cemeteries, and the Dignity Memorial brand serving the most AI-immune business in the economy [1][4]. Demographics provide the ultimate long-term tailwind: aging Baby Boomers will drive a sustained increase in death rates through the 2030s, providing volume growth that SCI is uniquely positioned to capture with the industry's largest footprint. Preneed cemetery sales grew 8% in Q2 2026, and FY2026 EPS guidance of $4.10-$4.30 with double-digit H2 growth signals accelerating profitability [1]. ROE of 34.71% demonstrates exceptional capital efficiency, and the 1.87% dividend yield with a conservative 35.5% payout ratio supports continued dividend growth alongside share repurchases. The preneed model provides decades of locked-in revenue visibility.</w:t>
      </w:r>
    </w:p>
    <w:p>
      <w:pPr>
        <w:spacing w:after="120"/>
      </w:pPr>
      <w:r>
        <w:rPr>
          <w:rFonts w:ascii="Calibri" w:hAnsi="Calibri"/>
          <w:b w:val="0"/>
          <w:color w:val="3A4A28"/>
          <w:sz w:val="20"/>
        </w:rPr>
        <w:t>The bear case centers on financial leverage, slow growth, and the cremation headwind. D/E of 344.9% creates significant financial vulnerability if credit markets tighten or interest rates remain elevated — the acquisition-driven consolidation model requires continuous debt capacity, and any disruption to capital markets could halt the growth engine [4]. Revenue growth of 3.6% YoY and an estimated 5-year CAGR of ~1.3% are anemic, and the secular shift to cremation (~60% of dispositions) structurally reduces revenue per case from ~$7,000-$9,000 for traditional burial to ~$3,000-$4,000 for cremation, creating a persistent headwind that volume gains can only partially offset [1]. Profit margin of 12.3% is below expectations for a dominant franchise, and EPS growth of only 4.7% suggests limited operating leverage. Cultural challenges are concerning — Comparably's D+ executive team rating and Glassdoor feedback about micromanagement and low pay could impair the compassionate frontline service that differentiates SCI from lower-cost competitors [2]. Price transparency initiatives and online comparison tools could pressure the pricing power that drives margins in an industry with significant information asymmetry.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Aging Baby Boomer demographics driving sustained increase in North American death rates through the 2030s, providing volume tailwind for SCI's 2,000+ funeral home and cemetery locations — the company's dominant market position means it captures a disproportionate share of industry volume growth [1]</w:t>
      </w:r>
    </w:p>
    <w:p>
      <w:pPr>
        <w:spacing w:before="40" w:after="40"/>
        <w:ind w:left="283"/>
      </w:pPr>
      <w:r>
        <w:rPr>
          <w:rFonts w:ascii="Calibri" w:hAnsi="Calibri"/>
          <w:b/>
          <w:color w:val="4A6B25"/>
          <w:sz w:val="20"/>
        </w:rPr>
        <w:t xml:space="preserve">2. </w:t>
      </w:r>
      <w:r>
        <w:rPr>
          <w:rFonts w:ascii="Calibri" w:hAnsi="Calibri"/>
          <w:b w:val="0"/>
          <w:color w:val="3A4A28"/>
          <w:sz w:val="20"/>
        </w:rPr>
        <w:t>FY2026 H2 double-digit EPS growth guided by management, supported by 8% preneed cemetery sales growth and 3% funeral average revenue increase in Q2, with margin expansion in both Funeral and Cemetery segments [1]</w:t>
      </w:r>
    </w:p>
    <w:p>
      <w:pPr>
        <w:spacing w:before="40" w:after="40"/>
        <w:ind w:left="283"/>
      </w:pPr>
      <w:r>
        <w:rPr>
          <w:rFonts w:ascii="Calibri" w:hAnsi="Calibri"/>
          <w:b/>
          <w:color w:val="4A6B25"/>
          <w:sz w:val="20"/>
        </w:rPr>
        <w:t xml:space="preserve">3. </w:t>
      </w:r>
      <w:r>
        <w:rPr>
          <w:rFonts w:ascii="Calibri" w:hAnsi="Calibri"/>
          <w:b w:val="0"/>
          <w:color w:val="3A4A28"/>
          <w:sz w:val="20"/>
        </w:rPr>
        <w:t>Cash flow guidance raised for FY2026, enabling acceleration of share repurchase and dividend growth — the 35.5% payout ratio leaves significant capacity for dividend increases that could attract income investors and rerate the stock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344.9% creates financial fragility in a rising-rate environment — the acquisition consolidation model requires continuous debt issuance, and SCI's debt service costs could accelerate margin compression if credit conditions tighten [4]</w:t>
      </w:r>
    </w:p>
    <w:p>
      <w:pPr>
        <w:spacing w:before="40" w:after="40"/>
        <w:ind w:left="283"/>
      </w:pPr>
      <w:r>
        <w:rPr>
          <w:rFonts w:ascii="Calibri" w:hAnsi="Calibri"/>
          <w:b/>
          <w:color w:val="4A6B25"/>
          <w:sz w:val="20"/>
        </w:rPr>
        <w:t xml:space="preserve">2. </w:t>
      </w:r>
      <w:r>
        <w:rPr>
          <w:rFonts w:ascii="Calibri" w:hAnsi="Calibri"/>
          <w:b w:val="0"/>
          <w:color w:val="3A4A28"/>
          <w:sz w:val="20"/>
        </w:rPr>
        <w:t>Secular cremation shift (~60% of dispositions and growing) structurally reduces revenue per case from ~$7,000-$9,000 for traditional burial to ~$3,000-$4,000 for cremation, creating a persistent top-line headwind that demographic volume gains can only partially offset [1]</w:t>
      </w:r>
    </w:p>
    <w:p>
      <w:pPr>
        <w:spacing w:before="40" w:after="40"/>
        <w:ind w:left="283"/>
      </w:pPr>
      <w:r>
        <w:rPr>
          <w:rFonts w:ascii="Calibri" w:hAnsi="Calibri"/>
          <w:b/>
          <w:color w:val="4A6B25"/>
          <w:sz w:val="20"/>
        </w:rPr>
        <w:t xml:space="preserve">3. </w:t>
      </w:r>
      <w:r>
        <w:rPr>
          <w:rFonts w:ascii="Calibri" w:hAnsi="Calibri"/>
          <w:b w:val="0"/>
          <w:color w:val="3A4A28"/>
          <w:sz w:val="20"/>
        </w:rPr>
        <w:t>Cultural challenges signaled by Comparably's D+ executive team rating and Glassdoor feedback about low pay, micromanagement, and limited advancement could degrade the compassionate service quality that differentiates Dignity Memorial from low-cost alternatives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Funeral services are among the most AI-immune businesses in the economy. SCI's core operations — conducting funeral services, embalming and preparing remains, cremation, graveside services, cemetery maintenance, and providing compassionate support to grieving families — are irreducibly physical, deeply personal, and heavily regulated [1]. AI cannot conduct a funeral, comfort a bereaved family, embalm a body, maintain a cemetery, or provide the human presence that defines deathcare. State-level licensing requirements for funeral directors create additional regulatory moats. The emotional and sacred nature of the service creates a structural floor on human involvement that no technology can penetrate. No analysts have flagged AI as a risk for funeral services; the industry is considered maximally AI-immune alongside utilities and physical infrastructure. AI Opportunity (0/1): SCI does not generate revenue from AI-related products or services. While AI could eventually assist with back-office operations, scheduling, or digital memorial tools, no quantifiable AI revenue has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Service Corporation International Q1-Q2 2026 Earnings — Q1 Revenue +2% (EPS $0.97), Q2 Revenue $1.1B (+4%, EPS $0.90), Cemetery Preneed +8%, FY2026 EPS Guidance $4.10-$4.30, Double-Digit H2 Growth, Cash Flow Guidance Raised, SEC Filings and Nasdaq, 2026</w:t>
      </w:r>
    </w:p>
    <w:p>
      <w:pPr>
        <w:spacing w:before="20" w:after="20"/>
        <w:ind w:left="170"/>
      </w:pPr>
      <w:r>
        <w:rPr>
          <w:rFonts w:ascii="Calibri" w:hAnsi="Calibri"/>
          <w:b/>
          <w:color w:val="4A6B25"/>
          <w:sz w:val="15"/>
        </w:rPr>
        <w:t xml:space="preserve">2. </w:t>
      </w:r>
      <w:r>
        <w:rPr>
          <w:rFonts w:ascii="Calibri" w:hAnsi="Calibri"/>
          <w:b w:val="0"/>
          <w:color w:val="3A4A28"/>
          <w:sz w:val="17"/>
        </w:rPr>
        <w:t>SCI Leadership and Culture — CEO Thomas L. Ryan, Glassdoor 3.1/5 Culture, Comparably D+ Executive Team Rating (Bottom 25%), Great Place to Work Certified, Employee Feedback on Pay and Management, 2026</w:t>
      </w:r>
    </w:p>
    <w:p>
      <w:pPr>
        <w:spacing w:before="20" w:after="20"/>
        <w:ind w:left="170"/>
      </w:pPr>
      <w:r>
        <w:rPr>
          <w:rFonts w:ascii="Calibri" w:hAnsi="Calibri"/>
          <w:b/>
          <w:color w:val="4A6B25"/>
          <w:sz w:val="15"/>
        </w:rPr>
        <w:t xml:space="preserve">3. </w:t>
      </w:r>
      <w:r>
        <w:rPr>
          <w:rFonts w:ascii="Calibri" w:hAnsi="Calibri"/>
          <w:b w:val="0"/>
          <w:color w:val="3A4A28"/>
          <w:sz w:val="17"/>
        </w:rPr>
        <w:t>SCI ESG Governance — ESG Steering Committee Since 2020, Nominating and Corporate Governance Committee Oversight, Sustainability Reporting, SEC Proxy Filings,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SCI Key Statistics: Forward P/E 16.71x, ROE 34.71%, D/E 344.9%, Profit Margin 12.3%, PEG 1.39, Dividend Yield 1.87%, Stock Price $76.83,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