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SCTX</w:t>
      </w:r>
      <w:r>
        <w:rPr>
          <w:rFonts w:ascii="Calibri" w:hAnsi="Calibri"/>
          <w:b/>
          <w:color w:val="1A2010"/>
          <w:sz w:val="40"/>
        </w:rPr>
        <w:t xml:space="preserve">  Scribe Therapeutics Inc.</w:t>
      </w:r>
    </w:p>
    <w:p>
      <w:pPr>
        <w:spacing w:after="120"/>
      </w:pPr>
      <w:r>
        <w:rPr>
          <w:rFonts w:ascii="Calibri" w:hAnsi="Calibri"/>
          <w:b/>
          <w:color w:val="6E8450"/>
          <w:sz w:val="18"/>
        </w:rPr>
        <w:t>GROWTH SLEEVE · 2026-09-21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Scribe Therapeutics is a clinical-stage biotechnology company developing CRISPR-based genetic medicines using its proprietary CRISPR by Design platform to address the root cause of diseases, with a primary focus on cardiometabolic conditions. Co-founded by Nobel laureate Jennifer Doudna and CEO Benjamin Oakes, the company engineers purpose-built CRISPR molecules (CasX via the XE platform and epigenetic silencing via the ELXR platform) rather than relying on naturally occurring enzymes like Cas9 [1]. Lead candidate STX-1150 targets PCSK9 for LDL cholesterol reduction and is in a first-in-human Phase I trial in Australia with initial data expected H1 2027 [1]. IPO'd July 2026 on NASDAQ, raising approximately $155.5M including a concurrent Sanofi private placement. Cash runway extends into H1 2029.</w:t>
      </w:r>
    </w:p>
    <w:p>
      <w:r>
        <w:rPr>
          <w:rFonts w:ascii="Calibri" w:hAnsi="Calibri"/>
          <w:b/>
          <w:color w:val="6E8450"/>
          <w:sz w:val="18"/>
        </w:rPr>
        <w:t>82 Employees · https://www.scribetx.com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Scribe engineered an entirely new CRISPR editing enzyme (CasX) from scratch as an alternative to the widely-used Cas9, representing genuine scientific innovation with distinct molecular advantages in activity, specificity, and deliverability [1]. The $1.5B biobucks partnership with Sanofi and additional partnership with Eli Lilly (total deal value exceeding $2.7B) validate the platform's therapeutic potential. STX-1150 showed &gt;50% LDL-C reduction in nonhuman primates, demonstrating translational proof-of-concept [1]. AI Deployment (1/2): Scribe developed DeepXE, a proprietary deep learning platform for modeling and designing efficient CRISPR-CasX guide RNAs, demonstrating genuine AI deployment in the drug development pipeline [2]. However, no quantified revenue or cost savings from AI have been reported. Market Share (0/2): CRISPR gene editing is a competitive field with established public companies (CRSP, NTLA, BEAM, EDIT). Scribe has no approved products and no market share as a Phase 1 entrant. Product Pipeline (2/2): Three named programs with specific timelines — STX-1150 in Phase 1 with first human data expected H1 2027, STX-1200 targeting Lp(a), and STX-1400 targeting APOC3/triglycerides, both in IND-enabling studies [1]. R&amp;D Intensity (1/1): As a clinical-stage biotech, virtually all spending is R&amp;D — reported $51.2M in collaboration revenue against $21.8M net loss in 2025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Scribe's mission — 'build the first CRISPR-based therapeutics that are effective and safe enough to transform everyone's lifetime risk for disease' — is specific, ambitious, and genuinely differentiated [2]. 'Extending healthy lifespan' through disease prevention rather than treatment represents a distinctive vision connecting the company to a larger purpose. Co-founder Jennifer Doudna's Nobel Prize provides authentic scientific credibility. However, the company is only 9 years old with no products on the market, so the mission hasn't been validated through decades of execution. Community Impact (0/2): No evidence of charitable programs or community investment. As a pre-revenue clinical-stage startup, resources are focused entirely on pipeline development. Employee Retention (0/2): Scribe reduced its workforce from approximately 130 to 82 employees with layoffs in January 2025, a negative signal for retention [1]. No subsequent retention data is available. Insider Buying (1/2): Sanofi purchased $7.5M of stock in a concurrent private placement at IPO, and Eli Lilly may raise its stake to 10.9%, demonstrating meaningful institutional conviction from two major pharmaceutical partners in the management team and platform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growth-stock metrics, with forward P/E, PEG, and 5-year revenue CAGR excluded as not applicable for a pre-revenue clinical-stage biotech with negative earnings [3]. The company's low leverage is a positive: total debt of $43M against estimated post-IPO equity of approximately $150M+ yields a D/E of roughly 29%, scoring maximum. However, all other scored metrics are deeply negative: ROE is unavailable due to net losses (scoring 0 at 2x growth weight), profit margin of -97.0% scores 0, and revenue growth of -60.8% TTM (reflecting lumpy collaboration revenue with $51.2M in 2025 but only $2.2M in Q1 2026) scores 0 [3]. Cash position of approximately $183M post-IPO ($43M pre-IPO plus $140.6M net proceeds) provides funding into H1 2029, but this is not captured in the Infrastructure formula. Liquidity passes at ~$9.0M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Scribe demonstrates genuine infinite game characteristics through its ambitious Just Cause of transforming disease prevention through CRISPR gene editing, co-founded by a Nobel laureate whose work reshaped molecular biology. The decision to engineer an entirely new editing enzyme (CasX) rather than iterate on the widely-available Cas9 reflects the kind of principled long-term bet Sinek values [1]. However, the company is only 9 years old with no products on the market, had significant layoffs in January 2025, and has not yet been tested through adversity.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Scribe's cause — 'transform everyone's lifetime risk for disease' through engineered CRISPR technologies — is genuinely visionary, service-oriented, inclusive, and big enough to never be fully achieved [2]. The mission connects cardiovascular disease prevention (killing 18M people annually) to a future where genetic medicines are safe enough for population-scale deployment. The decision to pursue disease prevention rather than treatment of rare diseases distinguishes Scribe from most gene editing peers. However, the company is 9 years old and hasn't proven this purpose through multi-decade execution.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CEO Benjamin Oakes, a former researcher under co-founder Jennifer Doudna, has led the company since founding, and the Doudna-Oakes partnership suggests authentic alignment [2]. However, the January 2025 layoffs reducing staff from approximately 130 to 82 employees represent a significant trust challenge for a small biotech. No public data on employee retention, voluntary turnover, or organizational culture practices is available post-layoffs.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Scribe's competitive positioning reflects infinite-minded thinking. Rather than trying to beat CRISPR Therapeutics, Intellia, or Beam at their own game (Cas9/Cas12/base editing), Scribe used rivals' limitations — Cas9 off-target effects, delivery challenges, immunogenicity concerns — to inform the design of an entirely new enzyme with distinct molecular advantages [1][2]. CEO Oakes describes the approach as 'CRISPR by Design' rather than 'CRISPR by Discovery,' explicitly learning from predecessors' weaknesses.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Scribe has pursued a consistent strategic path since founding — engineer CasX, develop a therapeutic pipeline, advance to clinical trials, partner with pharma [1]. The company is too young (9 years) to have faced the kind of existential strategic inflection that would test flexibility. No evidence of abandoning a business model or making a transformative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Scribe's foundational bet — engineering an entirely new CRISPR editing enzyme (CasX) rather than licensing the established Cas9 system — represents genuine courage [1][2]. When founded in 2017, Cas9 was the dominant paradigm with massive investment. Building a new enzyme from scratch required years of additional development, sacrificing speed for differentiation. The IPO as a Phase 1 company in a challenging biotech market also shows conviction, and the strategic decision to focus on highly prevalent cardiometabolic diseases (rather than rare diseases with faster regulatory paths) reflects long-term thinking.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Scribe Therapeutics offers early-stage exposure to a differentiated CRISPR gene editing platform with validated pharma partnerships and a clear path to clinical data. The engineered CasX enzyme provides molecular advantages over Cas9 in activity, specificity, and deliverability, and STX-1150's &gt;50% LDL-C reduction in nonhuman primates provides strong preclinical proof-of-concept for the $30B+ cardiovascular disease market [1]. The $1.5B biobucks Sanofi partnership, concurrent $7.5M Sanofi IPO placement, and Eli Lilly's potential 10.9% stake represent exceptional pharma validation for a Phase 1 company [1][2]. With approximately $183M in cash post-IPO, Scribe has runway into H1 2029 to advance STX-1150 through Phase 1 (data H1 2027) and bring STX-1200 and STX-1400 toward the clinic. The stock has rallied from $15 IPO to $33, reflecting strong investor demand for the platform's differentiated CRISPR approach.</w:t>
      </w:r>
    </w:p>
    <w:p>
      <w:pPr>
        <w:spacing w:after="120"/>
      </w:pPr>
      <w:r>
        <w:rPr>
          <w:rFonts w:ascii="Calibri" w:hAnsi="Calibri"/>
          <w:b w:val="0"/>
          <w:color w:val="3A4A28"/>
          <w:sz w:val="20"/>
        </w:rPr>
        <w:t>The bear case is straightforward: Scribe is a pre-revenue, pre-proof-of-concept-in-humans biotech with deeply negative profitability (net loss of $21.8M on $51.2M collaboration revenue in 2025, with Q1 2026 revenue collapsing to $2.2M due to lumpy milestones) and no path to profitability for 5-7+ years [1]. Phase 1 clinical trials have high failure rates — approximately 90% of drugs entering clinical trials never reach approval. The CRISPR gene editing space is crowded with better-capitalized competitors (CRSP, NTLA) who are further advanced clinically. In vivo CRISPR delivery remains an unsolved scientific challenge with safety risks including off-target editing, immune responses, and potential carcinogenicity [1]. Layoffs in January 2025 reducing headcount from ~130 to 82 raise concerns about organizational stability. The Inspire Impact Score of 0 (MIXED) with no attributions reflects limited ESG coverage for a recently public biotech.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First human clinical data from STX-1150 Phase 1 trial expected H1 2027 — a binary event for LDL cholesterol reduction efficacy and safety that would validate the engineered CasX platform [1]</w:t>
      </w:r>
    </w:p>
    <w:p>
      <w:pPr>
        <w:spacing w:before="40" w:after="40"/>
        <w:ind w:left="283"/>
      </w:pPr>
      <w:r>
        <w:rPr>
          <w:rFonts w:ascii="Calibri" w:hAnsi="Calibri"/>
          <w:b/>
          <w:color w:val="4A6B25"/>
          <w:sz w:val="20"/>
        </w:rPr>
        <w:t xml:space="preserve">2. </w:t>
      </w:r>
      <w:r>
        <w:rPr>
          <w:rFonts w:ascii="Calibri" w:hAnsi="Calibri"/>
          <w:b w:val="0"/>
          <w:color w:val="3A4A28"/>
          <w:sz w:val="20"/>
        </w:rPr>
        <w:t>IND filings for STX-1200 (Lp(a) reduction) and STX-1400 (APOC3/triglycerides) expanding the pipeline into additional cardiometabolic indications, broadening the platform's therapeutic value [1]</w:t>
      </w:r>
    </w:p>
    <w:p>
      <w:pPr>
        <w:spacing w:before="40" w:after="40"/>
        <w:ind w:left="283"/>
      </w:pPr>
      <w:r>
        <w:rPr>
          <w:rFonts w:ascii="Calibri" w:hAnsi="Calibri"/>
          <w:b/>
          <w:color w:val="4A6B25"/>
          <w:sz w:val="20"/>
        </w:rPr>
        <w:t xml:space="preserve">3. </w:t>
      </w:r>
      <w:r>
        <w:rPr>
          <w:rFonts w:ascii="Calibri" w:hAnsi="Calibri"/>
          <w:b w:val="0"/>
          <w:color w:val="3A4A28"/>
          <w:sz w:val="20"/>
        </w:rPr>
        <w:t>Potential expansion of the $1.5B Sanofi and Eli Lilly partnerships into additional therapeutic areas, generating milestone payments and validating CasX across multiple disease targets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clinical risk — Phase 1 failure of STX-1150 in LDL-C reduction would undermine the entire CasX platform thesis; approximately 90% of drugs fail in clinical development [1]</w:t>
      </w:r>
    </w:p>
    <w:p>
      <w:pPr>
        <w:spacing w:before="40" w:after="40"/>
        <w:ind w:left="283"/>
      </w:pPr>
      <w:r>
        <w:rPr>
          <w:rFonts w:ascii="Calibri" w:hAnsi="Calibri"/>
          <w:b/>
          <w:color w:val="4A6B25"/>
          <w:sz w:val="20"/>
        </w:rPr>
        <w:t xml:space="preserve">2. </w:t>
      </w:r>
      <w:r>
        <w:rPr>
          <w:rFonts w:ascii="Calibri" w:hAnsi="Calibri"/>
          <w:b w:val="0"/>
          <w:color w:val="3A4A28"/>
          <w:sz w:val="20"/>
        </w:rPr>
        <w:t>In vivo CRISPR delivery safety concerns including off-target editing events, immune responses to CasX protein, and unknown long-term effects of permanent genomic modifications [1]</w:t>
      </w:r>
    </w:p>
    <w:p>
      <w:pPr>
        <w:spacing w:before="40" w:after="40"/>
        <w:ind w:left="283"/>
      </w:pPr>
      <w:r>
        <w:rPr>
          <w:rFonts w:ascii="Calibri" w:hAnsi="Calibri"/>
          <w:b/>
          <w:color w:val="4A6B25"/>
          <w:sz w:val="20"/>
        </w:rPr>
        <w:t xml:space="preserve">3. </w:t>
      </w:r>
      <w:r>
        <w:rPr>
          <w:rFonts w:ascii="Calibri" w:hAnsi="Calibri"/>
          <w:b w:val="0"/>
          <w:color w:val="3A4A28"/>
          <w:sz w:val="20"/>
        </w:rPr>
        <w:t>Pre-revenue company with lumpy collaboration income ($51.2M in 2025, $2.2M in Q1 2026) — any clinical setback could force dilutive capital raises, and the stock has nearly doubled since IPO ($15 to $33), leaving limited margin of safety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Scribe's core business — developing CRISPR-based gene editing therapies — requires wet lab research, animal studies, GMP manufacturing, clinical trials with human subjects, and FDA regulatory approval, all physical and highly regulated processes that AI cannot substitute [1]. Drug development timelines of 7-15 years from discovery to approval involve irreducible biological complexity that AI accelerates but cannot replace. The physical delivery challenge of in vivo gene editing (lipid nanoparticles, tissue targeting) provides an additional moat that AI cannot solve computationally. However, AI is increasingly capable of improving target identification and guide RNA design, and AI-powered drug discovery could lower barriers for competitors to enter gene editing. AI Opportunity (1/1): Scribe's DeepXE deep learning platform for CRISPR guide RNA design represents a genuine AI application that directly contributes to pipeline development velocity and competitive advantage in optimizing CasX editing efficiency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Scribe Therapeutics Q2 2026 Financial Results and Corporate Highlights — Revenue $2.2M Q1 2026, Net Loss $17.4M, $43M Cash Pre-IPO, $155.5M IPO Proceeds, Pipeline Updates — GlobeNewsWire, BioSpace, NASDAQ, September 2026</w:t>
      </w:r>
    </w:p>
    <w:p>
      <w:pPr>
        <w:spacing w:before="20" w:after="20"/>
        <w:ind w:left="170"/>
      </w:pPr>
      <w:r>
        <w:rPr>
          <w:rFonts w:ascii="Calibri" w:hAnsi="Calibri"/>
          <w:b/>
          <w:color w:val="4A6B25"/>
          <w:sz w:val="15"/>
        </w:rPr>
        <w:t xml:space="preserve">2. </w:t>
      </w:r>
      <w:r>
        <w:rPr>
          <w:rFonts w:ascii="Calibri" w:hAnsi="Calibri"/>
          <w:b w:val="0"/>
          <w:color w:val="3A4A28"/>
          <w:sz w:val="17"/>
        </w:rPr>
        <w:t>Scribe Therapeutics Leadership, Mission, and Platform — CEO Benjamin Oakes, Co-founder Jennifer Doudna, CRISPR by Design, DeepXE AI Platform, Sanofi $1.5B Partnership, Eli Lilly Stake — TechCrunch, Forbes, scribetx.com, 2020-2026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SCTX Key Statistics: Price $33.00, Forward P/E N/A, Profit Margin -97.0%, Total Debt $43M, Avg Volume 273,487,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