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SGHC</w:t>
      </w:r>
      <w:r>
        <w:rPr>
          <w:rFonts w:ascii="Calibri" w:hAnsi="Calibri"/>
          <w:b/>
          <w:color w:val="1A2010"/>
          <w:sz w:val="40"/>
        </w:rPr>
        <w:t xml:space="preserve">  Super Group (SGHC) Limited</w:t>
      </w:r>
    </w:p>
    <w:p>
      <w:pPr>
        <w:spacing w:after="120"/>
      </w:pPr>
      <w:r>
        <w:rPr>
          <w:rFonts w:ascii="Calibri" w:hAnsi="Calibri"/>
          <w:b/>
          <w:color w:val="6E8450"/>
          <w:sz w:val="18"/>
        </w:rPr>
        <w:t>GROWTH SLEEVE · 2026-09-08 · Inspire: -1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Discretionary · Casinos &amp; Gaming · NYSE · Guernsey</w:t>
      </w:r>
    </w:p>
    <w:p>
      <w:pPr>
        <w:spacing w:after="80"/>
      </w:pPr>
      <w:r>
        <w:rPr>
          <w:rFonts w:ascii="Calibri" w:hAnsi="Calibri"/>
          <w:b w:val="0"/>
          <w:color w:val="3A4A28"/>
          <w:sz w:val="20"/>
        </w:rPr>
        <w:t>Super Group (SGHC) Limited is a global digital gaming and sports betting company headquartered in Guernsey, operating through its two flagship brands: Betway (single-brand online sports betting and casino) and Spin (multi-brand online casino). Under CEO Neal Menashe, a 23-year company veteran, Super Group serves 6.4 million monthly active customers across 17 countries spanning Europe, Africa, the Americas, and Rest of World. The company signed a landmark deal naming Betway as the principal and exclusive global betting partner of Manchester United. Q1 2026 revenue grew 18% YoY to $612M, followed by record Q2 2026 revenue of $684M (+18% YoY) with Adjusted EBITDA of $204M (30% margin). Full-year 2026 guidance was raised to revenue &gt;$2.6B and EBITDA &gt;$710M. Market cap approximately $7B.</w:t>
      </w:r>
    </w:p>
    <w:p>
      <w:r>
        <w:rPr>
          <w:rFonts w:ascii="Calibri" w:hAnsi="Calibri"/>
          <w:b/>
          <w:color w:val="6E8450"/>
          <w:sz w:val="18"/>
        </w:rPr>
        <w:t>3,500 Employees · https://www.sghc.com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Super Group has executed significant geographic and brand expansion over the last 5 years, growing from ~$530M revenue (2019) to $2.6B+ guidance (2026) — a nearly 5x increase driven by successful market entries in Africa, Americas (Canada), and deepening European presence [1][2]. The Betway-Manchester United global partnership is a landmark brand investment that opens substantial customer acquisition opportunities globally [3]. The NYSE listing in 2022 provided capital market access for further expansion. AI Deployment (0/2): No evidence of AI-powered products shipping to customers or specific AI-driven cost savings reported. The company references 'advanced data driven analytics' for customer engagement but this appears to be standard iGaming personalization rather than differentiated AI deployment [6]. Market Share (1/2): Betway is a globally recognized sports betting brand with 6.4 million monthly active customers, making Super Group a meaningful player in the global iGaming market [1]. However, it remains significantly smaller than Flutter/FanDuel (~$13B revenue), DraftKings ($5B+), and Entain in key markets. The Manchester United deal significantly elevates brand visibility. Product Pipeline (1/2): Africa expansion (Nigeria market entry specifically), new jurisdiction launches, and the Manchester United brand partnership provide specific growth catalysts with visibility [3]. However, these are geographic and marketing initiatives rather than new product innovations with named launch dates. R&amp;D Intensity (0/1): No disclosed R&amp;D spending data. As an iGaming platform operator using third-party game content from 90+ providers, technology investment is primarily in platform and data rather than proprietary R&amp;D.</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Super Group's stated purpose centers on providing customers 'the most engaging entertainment possible through advanced data driven analytics' [6]. This is a generic entertainment business description interchangeable with any iGaming company — it identifies what the company does but not why it matters beyond shareholder returns. There is no articulated vision of a future state or broader purpose beyond operating profitable gambling platforms. Community Impact (0/2): No evidence of significant charitable programs, foundation activities, or community investment was identified in research. The company operates in an industry (gambling) where social impact is inherently controversial, and no responsible gambling investments beyond standard compliance were found. Employee Retention (1/2): CEO Neal Menashe's 23-year tenure with the company, including 4 years as CEO, suggests strong leadership continuity and stability [6]. The 3,500-person workforce across 17 countries has been retained through significant growth phases. However, no specific employee retention data, turnover statistics, or culture assessments were identified. Insider Buying (0/2): No evidence of meaningful insider buying identified in research.</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(5yr CAGR and PEG unavailable, excluded). Super Group demonstrates exceptional financial health: D/E of ~10% reflects a virtually debt-free balance sheet with $365M cash against $74M debt, scoring a perfect 1.0 [5]. ROE of 21.38% exceeds the 15% target, scoring 1.0 at 2x growth weight, reflecting strong capital efficiency for a platform-model business [5]. Revenue growth YoY of 18% scores 1.0, driven by consistent performance across Africa, Europe, and Americas [1][2]. Forward P/E of 20.48x scores 0.99, nearly at the 20x target — remarkably inexpensive for a company growing revenue 18% and EBITDA 30-36% [5]. The primary drag is net profit margin of 7.03% (score 0.35), which reflects the iGaming industry's regulatory costs, gaming taxes, and customer acquisition expenses [5]. The UK tax increase (Remote Gaming Duty from 21% to 40%) will pressure margins further, though management still raised guidance [4]. Liquidity floor easily cleared with approximately $28M daily dollar volume. NOTE: Two heavily weighted growth metrics (5yr CAGR at 2x, PEG at 2x) are unavailable, so the score is calculated on a favorable subset of metrics.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Super Group plays a finite game — efficiently operating global gambling platforms for profit with no articulated purpose beyond entertainment and revenue growth. CEO Menashe's 23-year tenure provides leadership stability, and the Manchester United deal demonstrates bold strategic ambition, but the organization lacks a Just Cause, faces inherent social purpose challenges as a gambling operator, and measures success through MAU growth, revenue, and EBITDA metrics that are purely finite. The company has shown some flexibility through geographic expansion and the Betway/Spin dual-brand strategy, but has never fundamentally reinvented itself or sacrificed profitability for a greater cause.</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Super Group exists to operate profitable online gambling platforms across global jurisdictions. No mission, vision, or purpose statement articulates a future state beyond growth and entertainment [6]. As a gambling operator, the company faces an inherent Just Cause challenge — it is difficult to construct a compelling 'vision of a future state so appealing that people will sacrifice to advance it' around online betting. Strategic communications focus on revenue growth, EBITDA margins, MAU metrics, and geographic expansion — all finite measures.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Neal Menashe's 23-year tenure with the company, including 4 years leading as CEO, provides exceptional leadership continuity that suggests organizational trust at the top [6]. The company operates a 3,500-person workforce across 17 countries, requiring meaningful cross-cultural coordination and management capability. The leadership team is described as 'betting, gaming and technology pioneers with decades of industry experience,' suggesting deep institutional knowledge. However, no external employee sentiment data (Glassdoor, retention statistics) was identified, preventing assessment of trust below the C-suite.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Super Group's competitive positioning focuses on market share growth, geographic expansion, and brand visibility (Manchester United deal) rather than learning from rivals' strengths [2][3]. Flutter/FanDuel and DraftKings are obvious worthy rivals whose U.S. market expertise and technology platforms could teach Super Group where to improve, but no management commentary acknowledges these competitors as sources of learning.</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Super Group has meaningfully evolved from a regionally focused iGaming operator to a global multi-brand platform (Betway + Spin) across 17 countries, spanning Europe, Africa, Americas, and Rest of World [1][3]. The geographic diversification from Europe into high-growth Africa markets represents real strategic evolution. The Manchester United partnership represents a step-change in brand ambition. However, the core business has always been online gambling — the company has not fundamentally reinvented itself or entered an entirely new industry.</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Manchester United principal betting partnership is a bold, high-cost brand investment that signals long-term ambition — this is a multi-year, multi-million dollar commitment in an uncertain regulatory environment [3]. Expanding into Africa while facing UK tax increases (Remote Gaming Duty rising from 21% to 40%) demonstrates willingness to invest in growth markets even as core markets face margin compression [4]. However, these decisions represent standard competitive strategy for a growing iGaming company rather than truly courageous long-term bets that sacrifice near-term profitability.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Super Group is a rare combination of double-digit growth and reasonable valuation in global iGaming — Q2 2026 delivered record revenue of $684M (+18% YoY) with Adjusted EBITDA of $204M (+30% YoY) at a 30% margin, and management raised full-year guidance to revenue &gt;$2.6B and EBITDA &gt;$710M [1][2]. The Forward P/E of 20.48x for a company growing revenue 18% and EBITDA 30%+ represents a significant discount to U.S.-focused peers like DraftKings (40x+) and Flutter (25x+), driven by Super Group's international focus and gambling sector discount [5]. The Manchester United principal betting partnership is a transformational brand catalyst, positioning Betway alongside the world's most-followed football club across 6.4M monthly active customers in Africa, Europe, and Americas [3]. The balance sheet is fortress-strong: $365M cash, $74M debt, and ROE of 21.38% — a capital-light platform model generating substantial free cash flow that funds expansion without dilution.</w:t>
      </w:r>
    </w:p>
    <w:p>
      <w:pPr>
        <w:spacing w:after="120"/>
      </w:pPr>
      <w:r>
        <w:rPr>
          <w:rFonts w:ascii="Calibri" w:hAnsi="Calibri"/>
          <w:b w:val="0"/>
          <w:color w:val="3A4A28"/>
          <w:sz w:val="20"/>
        </w:rPr>
        <w:t>The bear case centers on regulatory risk, tax headwinds, and industry concentration. The UK government's increase of Remote Gaming Duty from 21% to 40% (effective April 2026) directly compresses Super Group's highest-margin European market, with management estimating a ~6% reduction in Group Adjusted EBITDA — and further tax increases in other jurisdictions could follow the UK template [4]. Net profit margin of 7.03% is structurally constrained by gaming taxes, regulatory compliance costs, and customer acquisition spending, leaving limited buffer against additional regulatory headwinds [5]. Africa, the company's fastest-growing region, carries political, currency, and regulatory instability risks — the Nigeria expansion in particular faces uncertain enforcement of online gambling regulations and potential policy reversals [3]. The company's dual-brand strategy (Betway sports betting, Spin casino) concentrates risk in online gambling, which faces social license scrutiny globally as governments respond to gambling addiction concerns. Two heavily weighted growth-stock infrastructure metrics (5yr Revenue CAGR and PEG) are unavailable, and the Infrastructure score of 9 is calculated on a favorable subset of metrics that may overstate the true picture. The Inspire Impact Score of -1 (MIXED) with a 'Gambling' negative attribution limits faith-based investor appetite [6].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Manchester United principal betting partnership driving global brand awareness and customer acquisition — Betway branding across the world's most-followed football club provides unparalleled marketing reach in Africa, where betting market growth is accelerating and Betway is already well-positioned [3]</w:t>
      </w:r>
    </w:p>
    <w:p>
      <w:pPr>
        <w:spacing w:before="40" w:after="40"/>
        <w:ind w:left="283"/>
      </w:pPr>
      <w:r>
        <w:rPr>
          <w:rFonts w:ascii="Calibri" w:hAnsi="Calibri"/>
          <w:b/>
          <w:color w:val="4A6B25"/>
          <w:sz w:val="20"/>
        </w:rPr>
        <w:t xml:space="preserve">2. </w:t>
      </w:r>
      <w:r>
        <w:rPr>
          <w:rFonts w:ascii="Calibri" w:hAnsi="Calibri"/>
          <w:b w:val="0"/>
          <w:color w:val="3A4A28"/>
          <w:sz w:val="20"/>
        </w:rPr>
        <w:t>Africa market expansion accelerating with Nigeria entry and increasing smartphone/internet penetration driving online gambling adoption — the continent represents Super Group's highest-growth opportunity with revenue and MAU growth exceeding other regions [1][3]</w:t>
      </w:r>
    </w:p>
    <w:p>
      <w:pPr>
        <w:spacing w:before="40" w:after="40"/>
        <w:ind w:left="283"/>
      </w:pPr>
      <w:r>
        <w:rPr>
          <w:rFonts w:ascii="Calibri" w:hAnsi="Calibri"/>
          <w:b/>
          <w:color w:val="4A6B25"/>
          <w:sz w:val="20"/>
        </w:rPr>
        <w:t xml:space="preserve">3. </w:t>
      </w:r>
      <w:r>
        <w:rPr>
          <w:rFonts w:ascii="Calibri" w:hAnsi="Calibri"/>
          <w:b w:val="0"/>
          <w:color w:val="3A4A28"/>
          <w:sz w:val="20"/>
        </w:rPr>
        <w:t>Full-year 2026 guidance raise to revenue &gt;$2.6B and EBITDA &gt;$710M provides visibility into continued margin expansion, and at 20.48x forward earnings the stock has meaningful re-rating potential if the valuation discount to U.S. peers narrows [2][5]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Regulatory tax escalation following the UK template — Remote Gaming Duty increase from 21% to 40% reduced estimated EBITDA by ~6%, and similar tax increases in other European jurisdictions or Africa could structurally compress margins across the portfolio [4]</w:t>
      </w:r>
    </w:p>
    <w:p>
      <w:pPr>
        <w:spacing w:before="40" w:after="40"/>
        <w:ind w:left="283"/>
      </w:pPr>
      <w:r>
        <w:rPr>
          <w:rFonts w:ascii="Calibri" w:hAnsi="Calibri"/>
          <w:b/>
          <w:color w:val="4A6B25"/>
          <w:sz w:val="20"/>
        </w:rPr>
        <w:t xml:space="preserve">2. </w:t>
      </w:r>
      <w:r>
        <w:rPr>
          <w:rFonts w:ascii="Calibri" w:hAnsi="Calibri"/>
          <w:b w:val="0"/>
          <w:color w:val="3A4A28"/>
          <w:sz w:val="20"/>
        </w:rPr>
        <w:t>Africa political and regulatory instability — the Nigeria expansion and broader continent growth strategy face risks from currency devaluation, sudden regulatory changes, capital repatriation restrictions, and potential gambling prohibition in key markets [3]</w:t>
      </w:r>
    </w:p>
    <w:p>
      <w:pPr>
        <w:spacing w:before="40" w:after="40"/>
        <w:ind w:left="283"/>
      </w:pPr>
      <w:r>
        <w:rPr>
          <w:rFonts w:ascii="Calibri" w:hAnsi="Calibri"/>
          <w:b/>
          <w:color w:val="4A6B25"/>
          <w:sz w:val="20"/>
        </w:rPr>
        <w:t xml:space="preserve">3. </w:t>
      </w:r>
      <w:r>
        <w:rPr>
          <w:rFonts w:ascii="Calibri" w:hAnsi="Calibri"/>
          <w:b w:val="0"/>
          <w:color w:val="3A4A28"/>
          <w:sz w:val="20"/>
        </w:rPr>
        <w:t>Social license deterioration for online gambling globally as governments and advocacy groups respond to gambling addiction concerns — potential advertising restrictions, deposit limits, or outright market closures could directly reduce the addressable market and customer acquisition effectiveness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Online sports betting and casino operations have meaningful defensive moats against AI disruption — each jurisdiction requires specific regulatory licenses, compliance infrastructure, responsible gambling frameworks, and established payment processing relationships that AI cannot easily replicate [3][4]. The sports betting core requires real-world sporting events, creating a physical-world anchor. Super Group's established brand (Betway, particularly with the Manchester United partnership) and 6.4M monthly active customer relationships provide retention advantages. However, AI presents moderate competitive risk: AI-powered personalization could benefit larger competitors with more data, and AI-generated content could lower barriers to casino game development [6]. The iGaming industry's digital nature makes it more exposed than physical-world businesses, but less exposed than pure-information businesses. Analysts have not flagged AI as an existential threat to established iGaming operators with regulatory moats. AI Opportunity (0/1): No evidence of specific AI revenue products or quantified AI-driven operational improvements. The company references 'advanced data driven analytics' but has not articulated an AI strategy with measurable revenue contribution [6].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-1</w:t>
      </w:r>
      <w:r>
        <w:rPr>
          <w:rFonts w:ascii="Calibri" w:hAnsi="Calibri"/>
          <w:b/>
          <w:color w:val="B8860B"/>
          <w:sz w:val="20"/>
        </w:rPr>
        <w:t xml:space="preserve">    MIXED</w:t>
      </w:r>
    </w:p>
    <w:p>
      <w:pPr>
        <w:spacing w:before="80" w:after="40"/>
      </w:pPr>
      <w:r>
        <w:rPr>
          <w:rFonts w:ascii="Calibri" w:hAnsi="Calibri"/>
          <w:b/>
          <w:color w:val="6E8450"/>
          <w:sz w:val="18"/>
        </w:rPr>
        <w:t xml:space="preserve">Negative: </w:t>
      </w:r>
      <w:r>
        <w:rPr>
          <w:rFonts w:ascii="Calibri" w:hAnsi="Calibri"/>
          <w:b/>
          <w:color w:val="DC2626"/>
          <w:sz w:val="17"/>
        </w:rPr>
        <w:t xml:space="preserve"> Gambling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Super Group Q1 2026 Earnings — Revenue $612M (+18% YoY), Adjusted EBITDA $152M (+36% YoY), Record 6.4M Monthly Active Customers (+18%), May 2026</w:t>
      </w:r>
    </w:p>
    <w:p>
      <w:pPr>
        <w:spacing w:before="20" w:after="20"/>
        <w:ind w:left="170"/>
      </w:pPr>
      <w:r>
        <w:rPr>
          <w:rFonts w:ascii="Calibri" w:hAnsi="Calibri"/>
          <w:b/>
          <w:color w:val="4A6B25"/>
          <w:sz w:val="15"/>
        </w:rPr>
        <w:t xml:space="preserve">2. </w:t>
      </w:r>
      <w:r>
        <w:rPr>
          <w:rFonts w:ascii="Calibri" w:hAnsi="Calibri"/>
          <w:b w:val="0"/>
          <w:color w:val="3A4A28"/>
          <w:sz w:val="17"/>
        </w:rPr>
        <w:t>Super Group Q2 2026 Earnings — Record Revenue $684M (+18% YoY), Adjusted EBITDA $204M (+30%, 30% Margin), FY2026 Guidance Raised: Revenue &gt;$2.6B, EBITDA &gt;$710M, August 2026</w:t>
      </w:r>
    </w:p>
    <w:p>
      <w:pPr>
        <w:spacing w:before="20" w:after="20"/>
        <w:ind w:left="170"/>
      </w:pPr>
      <w:r>
        <w:rPr>
          <w:rFonts w:ascii="Calibri" w:hAnsi="Calibri"/>
          <w:b/>
          <w:color w:val="4A6B25"/>
          <w:sz w:val="15"/>
        </w:rPr>
        <w:t xml:space="preserve">3. </w:t>
      </w:r>
      <w:r>
        <w:rPr>
          <w:rFonts w:ascii="Calibri" w:hAnsi="Calibri"/>
          <w:b w:val="0"/>
          <w:color w:val="3A4A28"/>
          <w:sz w:val="17"/>
        </w:rPr>
        <w:t>Super Group Brand and Strategy — Manchester United Principal Betting Partner, Africa Expansion (Nigeria), Betway/Spin Dual-Brand Platform, 6.4M Monthly Active Customers, 2026</w:t>
      </w:r>
    </w:p>
    <w:p>
      <w:pPr>
        <w:spacing w:before="20" w:after="20"/>
        <w:ind w:left="170"/>
      </w:pPr>
      <w:r>
        <w:rPr>
          <w:rFonts w:ascii="Calibri" w:hAnsi="Calibri"/>
          <w:b/>
          <w:color w:val="4A6B25"/>
          <w:sz w:val="15"/>
        </w:rPr>
        <w:t xml:space="preserve">4. </w:t>
      </w:r>
      <w:r>
        <w:rPr>
          <w:rFonts w:ascii="Calibri" w:hAnsi="Calibri"/>
          <w:b w:val="0"/>
          <w:color w:val="3A4A28"/>
          <w:sz w:val="17"/>
        </w:rPr>
        <w:t>Super Group UK Tax Impact — Remote Gaming Duty Raised 21% to 40% (April 2026), General Betting Duty 15% to 25% (April 2027), ~6% Group EBITDA Impact, Company Commentary</w:t>
      </w:r>
    </w:p>
    <w:p>
      <w:pPr>
        <w:spacing w:before="20" w:after="20"/>
        <w:ind w:left="170"/>
      </w:pPr>
      <w:r>
        <w:rPr>
          <w:rFonts w:ascii="Calibri" w:hAnsi="Calibri"/>
          <w:b/>
          <w:color w:val="4A6B25"/>
          <w:sz w:val="15"/>
        </w:rPr>
        <w:t xml:space="preserve">5. </w:t>
      </w:r>
      <w:r>
        <w:rPr>
          <w:rFonts w:ascii="Calibri" w:hAnsi="Calibri"/>
          <w:b w:val="0"/>
          <w:color w:val="3A4A28"/>
          <w:sz w:val="17"/>
        </w:rPr>
        <w:t>StockAnalysis, GuruFocus — SGHC Key Statistics: Forward PE 20.48x, PE 28.79x, D/E ~10%, ROE 21.38%, Profit Margin 7.03%, Cash $365M, Debt $74M, Stock Price $13.78, Market Cap ~$7B, accessed September 2026</w:t>
      </w:r>
    </w:p>
    <w:p>
      <w:pPr>
        <w:spacing w:before="20" w:after="20"/>
        <w:ind w:left="170"/>
      </w:pPr>
      <w:r>
        <w:rPr>
          <w:rFonts w:ascii="Calibri" w:hAnsi="Calibri"/>
          <w:b/>
          <w:color w:val="4A6B25"/>
          <w:sz w:val="15"/>
        </w:rPr>
        <w:t xml:space="preserve">6. </w:t>
      </w:r>
      <w:r>
        <w:rPr>
          <w:rFonts w:ascii="Calibri" w:hAnsi="Calibri"/>
          <w:b w:val="0"/>
          <w:color w:val="3A4A28"/>
          <w:sz w:val="17"/>
        </w:rPr>
        <w:t>Super Group Corporate Profile — CEO Neal Menashe (23-Year Veteran, 4 Years CEO), 3,500+ Employees, 17 Countries, 'Advanced Data Driven Analytics,' NYSE: SGHC, sghc.com</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